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40E1" w14:textId="7C1CDC3E" w:rsidR="00387F4E" w:rsidRPr="00125AA8" w:rsidRDefault="00387F4E" w:rsidP="00387F4E">
      <w:pPr>
        <w:pBdr>
          <w:bottom w:val="single" w:sz="6" w:space="12" w:color="DDDDDD"/>
        </w:pBdr>
        <w:spacing w:before="120"/>
        <w:textAlignment w:val="baseline"/>
        <w:outlineLvl w:val="0"/>
        <w:rPr>
          <w:rFonts w:eastAsia="Times New Roman"/>
          <w:color w:val="000000" w:themeColor="text1"/>
          <w:kern w:val="36"/>
          <w:sz w:val="32"/>
          <w:szCs w:val="32"/>
          <w:lang w:val="en-US" w:eastAsia="pt-BR"/>
        </w:rPr>
      </w:pPr>
      <w:r w:rsidRPr="00387F4E">
        <w:rPr>
          <w:rFonts w:eastAsia="Times New Roman"/>
          <w:color w:val="000000" w:themeColor="text1"/>
          <w:kern w:val="36"/>
          <w:sz w:val="32"/>
          <w:szCs w:val="32"/>
          <w:lang w:val="en-US" w:eastAsia="pt-BR"/>
        </w:rPr>
        <w:t>New Developmentalism and Balance of Payments Constrained Growth Models: convergences and divergences</w:t>
      </w:r>
    </w:p>
    <w:p w14:paraId="619C67F6" w14:textId="77777777" w:rsidR="00125AA8" w:rsidRPr="00125AA8" w:rsidRDefault="00125AA8" w:rsidP="00387F4E">
      <w:pPr>
        <w:pBdr>
          <w:bottom w:val="single" w:sz="6" w:space="12" w:color="DDDDDD"/>
        </w:pBdr>
        <w:spacing w:before="120"/>
        <w:textAlignment w:val="baseline"/>
        <w:outlineLvl w:val="0"/>
        <w:rPr>
          <w:rFonts w:eastAsia="Times New Roman"/>
          <w:color w:val="000000" w:themeColor="text1"/>
          <w:kern w:val="36"/>
          <w:sz w:val="24"/>
          <w:lang w:eastAsia="pt-BR"/>
        </w:rPr>
      </w:pPr>
      <w:r w:rsidRPr="00125AA8">
        <w:rPr>
          <w:rFonts w:eastAsia="Times New Roman"/>
          <w:color w:val="000000" w:themeColor="text1"/>
          <w:kern w:val="36"/>
          <w:sz w:val="24"/>
          <w:lang w:eastAsia="pt-BR"/>
        </w:rPr>
        <w:t xml:space="preserve">José </w:t>
      </w:r>
      <w:proofErr w:type="spellStart"/>
      <w:r w:rsidRPr="00125AA8">
        <w:rPr>
          <w:rFonts w:eastAsia="Times New Roman"/>
          <w:color w:val="000000" w:themeColor="text1"/>
          <w:kern w:val="36"/>
          <w:sz w:val="24"/>
          <w:lang w:eastAsia="pt-BR"/>
        </w:rPr>
        <w:t>Luis</w:t>
      </w:r>
      <w:proofErr w:type="spellEnd"/>
      <w:r w:rsidRPr="00125AA8">
        <w:rPr>
          <w:rFonts w:eastAsia="Times New Roman"/>
          <w:color w:val="000000" w:themeColor="text1"/>
          <w:kern w:val="36"/>
          <w:sz w:val="24"/>
          <w:lang w:eastAsia="pt-BR"/>
        </w:rPr>
        <w:t xml:space="preserve"> </w:t>
      </w:r>
      <w:proofErr w:type="spellStart"/>
      <w:r w:rsidRPr="00125AA8">
        <w:rPr>
          <w:rFonts w:eastAsia="Times New Roman"/>
          <w:color w:val="000000" w:themeColor="text1"/>
          <w:kern w:val="36"/>
          <w:sz w:val="24"/>
          <w:lang w:eastAsia="pt-BR"/>
        </w:rPr>
        <w:t>Oreiro</w:t>
      </w:r>
      <w:proofErr w:type="spellEnd"/>
    </w:p>
    <w:p w14:paraId="7A3A342D" w14:textId="2EAB845A" w:rsidR="00387F4E" w:rsidRPr="00387F4E" w:rsidRDefault="00125AA8" w:rsidP="00387F4E">
      <w:pPr>
        <w:pBdr>
          <w:bottom w:val="single" w:sz="6" w:space="12" w:color="DDDDDD"/>
        </w:pBdr>
        <w:spacing w:before="120"/>
        <w:textAlignment w:val="baseline"/>
        <w:outlineLvl w:val="0"/>
        <w:rPr>
          <w:rFonts w:eastAsia="Times New Roman"/>
          <w:i/>
          <w:iCs/>
          <w:color w:val="000000" w:themeColor="text1"/>
          <w:kern w:val="36"/>
          <w:sz w:val="24"/>
          <w:lang w:eastAsia="pt-BR"/>
        </w:rPr>
      </w:pPr>
      <w:r w:rsidRPr="00125AA8">
        <w:rPr>
          <w:rFonts w:eastAsia="Times New Roman"/>
          <w:color w:val="000000" w:themeColor="text1"/>
          <w:kern w:val="36"/>
          <w:sz w:val="24"/>
          <w:lang w:eastAsia="pt-BR"/>
        </w:rPr>
        <w:t xml:space="preserve">Blog </w:t>
      </w:r>
      <w:proofErr w:type="spellStart"/>
      <w:r w:rsidRPr="00125AA8">
        <w:rPr>
          <w:rFonts w:eastAsia="Times New Roman"/>
          <w:color w:val="000000" w:themeColor="text1"/>
          <w:kern w:val="36"/>
          <w:sz w:val="24"/>
          <w:lang w:eastAsia="pt-BR"/>
        </w:rPr>
        <w:t>Oreiro</w:t>
      </w:r>
      <w:proofErr w:type="spellEnd"/>
      <w:r w:rsidRPr="00125AA8">
        <w:rPr>
          <w:rFonts w:eastAsia="Times New Roman"/>
          <w:color w:val="000000" w:themeColor="text1"/>
          <w:kern w:val="36"/>
          <w:sz w:val="24"/>
          <w:lang w:eastAsia="pt-BR"/>
        </w:rPr>
        <w:t xml:space="preserve">, </w:t>
      </w:r>
      <w:r w:rsidR="00387F4E" w:rsidRPr="00125AA8">
        <w:rPr>
          <w:rFonts w:eastAsia="Times New Roman"/>
          <w:i/>
          <w:iCs/>
          <w:color w:val="000000" w:themeColor="text1"/>
          <w:kern w:val="36"/>
          <w:sz w:val="24"/>
          <w:lang w:eastAsia="pt-BR"/>
        </w:rPr>
        <w:t>29/07/2021</w:t>
      </w:r>
    </w:p>
    <w:p w14:paraId="2B760660" w14:textId="19F4C537" w:rsidR="00387F4E" w:rsidRPr="00387F4E" w:rsidRDefault="00125AA8" w:rsidP="00387F4E">
      <w:pPr>
        <w:spacing w:before="120"/>
        <w:textAlignment w:val="baseline"/>
        <w:rPr>
          <w:rFonts w:eastAsia="Times New Roman"/>
          <w:color w:val="333333"/>
          <w:sz w:val="24"/>
          <w:lang w:val="en-US" w:eastAsia="pt-BR"/>
        </w:rPr>
      </w:pPr>
      <w:r>
        <w:rPr>
          <w:rFonts w:eastAsia="Times New Roman"/>
          <w:color w:val="333333"/>
          <w:sz w:val="24"/>
          <w:lang w:val="en-US" w:eastAsia="pt-BR"/>
        </w:rPr>
        <w:t>I</w:t>
      </w:r>
      <w:r w:rsidR="00387F4E" w:rsidRPr="00387F4E">
        <w:rPr>
          <w:rFonts w:eastAsia="Times New Roman"/>
          <w:color w:val="333333"/>
          <w:sz w:val="24"/>
          <w:lang w:val="en-US" w:eastAsia="pt-BR"/>
        </w:rPr>
        <w:t xml:space="preserve">n a recent exchange of e-mails with Professor Anthony </w:t>
      </w:r>
      <w:proofErr w:type="spellStart"/>
      <w:r w:rsidR="00387F4E" w:rsidRPr="00387F4E">
        <w:rPr>
          <w:rFonts w:eastAsia="Times New Roman"/>
          <w:color w:val="333333"/>
          <w:sz w:val="24"/>
          <w:lang w:val="en-US" w:eastAsia="pt-BR"/>
        </w:rPr>
        <w:t>Thirwall</w:t>
      </w:r>
      <w:proofErr w:type="spellEnd"/>
      <w:r w:rsidR="00387F4E" w:rsidRPr="00387F4E">
        <w:rPr>
          <w:rFonts w:eastAsia="Times New Roman"/>
          <w:color w:val="333333"/>
          <w:sz w:val="24"/>
          <w:lang w:val="en-US" w:eastAsia="pt-BR"/>
        </w:rPr>
        <w:t xml:space="preserve">, he </w:t>
      </w:r>
      <w:r w:rsidR="00387F4E" w:rsidRPr="00387F4E">
        <w:rPr>
          <w:rFonts w:eastAsia="Times New Roman"/>
          <w:color w:val="333333"/>
          <w:sz w:val="24"/>
          <w:lang w:val="en-US" w:eastAsia="pt-BR"/>
        </w:rPr>
        <w:t>recommended</w:t>
      </w:r>
      <w:r w:rsidR="00387F4E" w:rsidRPr="00387F4E">
        <w:rPr>
          <w:rFonts w:eastAsia="Times New Roman"/>
          <w:color w:val="333333"/>
          <w:sz w:val="24"/>
          <w:lang w:val="en-US" w:eastAsia="pt-BR"/>
        </w:rPr>
        <w:t xml:space="preserve"> me to read a relative unknown book chapter that he wrote with Dixon in a book published in 1979 titled “Inflation, Development and Integration: essays in </w:t>
      </w:r>
      <w:proofErr w:type="spellStart"/>
      <w:r w:rsidR="00387F4E" w:rsidRPr="00387F4E">
        <w:rPr>
          <w:rFonts w:eastAsia="Times New Roman"/>
          <w:color w:val="333333"/>
          <w:sz w:val="24"/>
          <w:lang w:val="en-US" w:eastAsia="pt-BR"/>
        </w:rPr>
        <w:t>Honour</w:t>
      </w:r>
      <w:proofErr w:type="spellEnd"/>
      <w:r w:rsidR="00387F4E" w:rsidRPr="00387F4E">
        <w:rPr>
          <w:rFonts w:eastAsia="Times New Roman"/>
          <w:color w:val="333333"/>
          <w:sz w:val="24"/>
          <w:lang w:val="en-US" w:eastAsia="pt-BR"/>
        </w:rPr>
        <w:t xml:space="preserve"> of A.J. Brown”. The title of the chapter is “A model with export-led growth with balance of payments constraint”. This chapter is very </w:t>
      </w:r>
      <w:r w:rsidR="00387F4E" w:rsidRPr="00387F4E">
        <w:rPr>
          <w:rFonts w:eastAsia="Times New Roman"/>
          <w:color w:val="333333"/>
          <w:sz w:val="24"/>
          <w:lang w:val="en-US" w:eastAsia="pt-BR"/>
        </w:rPr>
        <w:t>interesting</w:t>
      </w:r>
      <w:r w:rsidR="00387F4E" w:rsidRPr="00387F4E">
        <w:rPr>
          <w:rFonts w:eastAsia="Times New Roman"/>
          <w:color w:val="333333"/>
          <w:sz w:val="24"/>
          <w:lang w:val="en-US" w:eastAsia="pt-BR"/>
        </w:rPr>
        <w:t xml:space="preserve"> for understanding the historical development of the literature of Balance of Payments Constrained Growth Models (BPCG hereafter) because it make a synthesis between the cumulative causation model developed by Dixon and </w:t>
      </w:r>
      <w:proofErr w:type="spellStart"/>
      <w:r w:rsidR="00387F4E" w:rsidRPr="00387F4E">
        <w:rPr>
          <w:rFonts w:eastAsia="Times New Roman"/>
          <w:color w:val="333333"/>
          <w:sz w:val="24"/>
          <w:lang w:val="en-US" w:eastAsia="pt-BR"/>
        </w:rPr>
        <w:t>Thirwall</w:t>
      </w:r>
      <w:proofErr w:type="spellEnd"/>
      <w:r w:rsidR="00387F4E" w:rsidRPr="00387F4E">
        <w:rPr>
          <w:rFonts w:eastAsia="Times New Roman"/>
          <w:color w:val="333333"/>
          <w:sz w:val="24"/>
          <w:lang w:val="en-US" w:eastAsia="pt-BR"/>
        </w:rPr>
        <w:t xml:space="preserve"> (1975), where growth is export led and there is a positive feedback mechanism between exports growth and output and productivity growth; and the “pure” BPCG models (</w:t>
      </w:r>
      <w:proofErr w:type="spellStart"/>
      <w:r w:rsidR="00387F4E" w:rsidRPr="00387F4E">
        <w:rPr>
          <w:rFonts w:eastAsia="Times New Roman"/>
          <w:color w:val="333333"/>
          <w:sz w:val="24"/>
          <w:lang w:val="en-US" w:eastAsia="pt-BR"/>
        </w:rPr>
        <w:t>Thirwall</w:t>
      </w:r>
      <w:proofErr w:type="spellEnd"/>
      <w:r w:rsidR="00387F4E" w:rsidRPr="00387F4E">
        <w:rPr>
          <w:rFonts w:eastAsia="Times New Roman"/>
          <w:color w:val="333333"/>
          <w:sz w:val="24"/>
          <w:lang w:val="en-US" w:eastAsia="pt-BR"/>
        </w:rPr>
        <w:t>, 1979), where the long-run growth is determined by the ratio between exports growth and income elasticity of exports, but there is no feedback mechanism that allowed an increasing divergence between growth rates of real output once an initial advantage of one country over another was established. The cumulative causation mechanism was abolished from the BPCG literature because: </w:t>
      </w:r>
    </w:p>
    <w:p w14:paraId="69DF5309" w14:textId="5651A503"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 xml:space="preserve">“Despite the </w:t>
      </w:r>
      <w:r w:rsidRPr="00387F4E">
        <w:rPr>
          <w:rFonts w:eastAsia="Times New Roman"/>
          <w:color w:val="333333"/>
          <w:sz w:val="24"/>
          <w:lang w:val="en-US" w:eastAsia="pt-BR"/>
        </w:rPr>
        <w:t>effort</w:t>
      </w:r>
      <w:r w:rsidRPr="00387F4E">
        <w:rPr>
          <w:rFonts w:eastAsia="Times New Roman"/>
          <w:color w:val="333333"/>
          <w:sz w:val="24"/>
          <w:lang w:val="en-US" w:eastAsia="pt-BR"/>
        </w:rPr>
        <w:t xml:space="preserve"> of formulating a </w:t>
      </w:r>
      <w:proofErr w:type="gramStart"/>
      <w:r w:rsidRPr="00387F4E">
        <w:rPr>
          <w:rFonts w:eastAsia="Times New Roman"/>
          <w:color w:val="333333"/>
          <w:sz w:val="24"/>
          <w:lang w:val="en-US" w:eastAsia="pt-BR"/>
        </w:rPr>
        <w:t>fairly sophisticated</w:t>
      </w:r>
      <w:proofErr w:type="gramEnd"/>
      <w:r w:rsidRPr="00387F4E">
        <w:rPr>
          <w:rFonts w:eastAsia="Times New Roman"/>
          <w:color w:val="333333"/>
          <w:sz w:val="24"/>
          <w:lang w:val="en-US" w:eastAsia="pt-BR"/>
        </w:rPr>
        <w:t xml:space="preserve"> export-led growth model, incorporating the idea of a virtuous cycle led by exports but </w:t>
      </w:r>
      <w:r w:rsidRPr="00387F4E">
        <w:rPr>
          <w:rFonts w:eastAsia="Times New Roman"/>
          <w:color w:val="333333"/>
          <w:sz w:val="24"/>
          <w:lang w:val="en-US" w:eastAsia="pt-BR"/>
        </w:rPr>
        <w:t>constrained</w:t>
      </w:r>
      <w:r w:rsidRPr="00387F4E">
        <w:rPr>
          <w:rFonts w:eastAsia="Times New Roman"/>
          <w:color w:val="333333"/>
          <w:sz w:val="24"/>
          <w:lang w:val="en-US" w:eastAsia="pt-BR"/>
        </w:rPr>
        <w:t xml:space="preserve"> by the balance of payments, it seems from empirical evidence that a simpler model will suffice (….) It is to suggest that the link between exports and growth via Verdoorn effect may not be very important either because relative price change very little or because the price elasticities of demand for exports and imports are not sufficient high. The main importance of export growth lies in raising the balance of payments constraint on growth, simply allowing countries to reach their capacity rate” (</w:t>
      </w:r>
      <w:proofErr w:type="spellStart"/>
      <w:r w:rsidRPr="00387F4E">
        <w:rPr>
          <w:rFonts w:eastAsia="Times New Roman"/>
          <w:color w:val="333333"/>
          <w:sz w:val="24"/>
          <w:lang w:val="en-US" w:eastAsia="pt-BR"/>
        </w:rPr>
        <w:t>Thirwall</w:t>
      </w:r>
      <w:proofErr w:type="spellEnd"/>
      <w:r w:rsidRPr="00387F4E">
        <w:rPr>
          <w:rFonts w:eastAsia="Times New Roman"/>
          <w:color w:val="333333"/>
          <w:sz w:val="24"/>
          <w:lang w:val="en-US" w:eastAsia="pt-BR"/>
        </w:rPr>
        <w:t xml:space="preserve"> and Dixon, 1979, p. 188). </w:t>
      </w:r>
    </w:p>
    <w:p w14:paraId="37816905" w14:textId="77777777"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Above we can see some convergences and divergences between new-developmentalism and BPCG models. The convergence lies in the fundamental importance of (manufacturing) exports for long-term growth; the divergence regards the role of real exchange rate in the process of economic development. </w:t>
      </w:r>
    </w:p>
    <w:p w14:paraId="7AA6BC1B" w14:textId="525E4A4A"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b/>
          <w:bCs/>
          <w:color w:val="333333"/>
          <w:sz w:val="24"/>
          <w:bdr w:val="none" w:sz="0" w:space="0" w:color="auto" w:frame="1"/>
          <w:lang w:val="en-US" w:eastAsia="pt-BR"/>
        </w:rPr>
        <w:t>New-Developmentalism arises as an answer to the crisis of the model of Import Substitution Industrialization (ISI hereafter) in the 1980 and 1990 in Latin America.</w:t>
      </w:r>
      <w:r w:rsidRPr="00387F4E">
        <w:rPr>
          <w:rFonts w:eastAsia="Times New Roman"/>
          <w:color w:val="333333"/>
          <w:sz w:val="24"/>
          <w:lang w:val="en-US" w:eastAsia="pt-BR"/>
        </w:rPr>
        <w:t xml:space="preserve"> One of the fundamental historical facts in which new-developmentalism is based is the idea that middle-income countries of Latin America, like Brazil or Mexico, had already overcome the phase of infant industry where import tariffs are </w:t>
      </w:r>
      <w:r w:rsidRPr="00387F4E">
        <w:rPr>
          <w:rFonts w:eastAsia="Times New Roman"/>
          <w:color w:val="333333"/>
          <w:sz w:val="24"/>
          <w:lang w:val="en-US" w:eastAsia="pt-BR"/>
        </w:rPr>
        <w:t>required</w:t>
      </w:r>
      <w:r w:rsidRPr="00387F4E">
        <w:rPr>
          <w:rFonts w:eastAsia="Times New Roman"/>
          <w:color w:val="333333"/>
          <w:sz w:val="24"/>
          <w:lang w:val="en-US" w:eastAsia="pt-BR"/>
        </w:rPr>
        <w:t xml:space="preserve"> to develop the domestic manufacturing industries until they reach the efficient production scale </w:t>
      </w:r>
      <w:proofErr w:type="gramStart"/>
      <w:r w:rsidRPr="00387F4E">
        <w:rPr>
          <w:rFonts w:eastAsia="Times New Roman"/>
          <w:color w:val="333333"/>
          <w:sz w:val="24"/>
          <w:lang w:val="en-US" w:eastAsia="pt-BR"/>
        </w:rPr>
        <w:t>in order to</w:t>
      </w:r>
      <w:proofErr w:type="gramEnd"/>
      <w:r w:rsidRPr="00387F4E">
        <w:rPr>
          <w:rFonts w:eastAsia="Times New Roman"/>
          <w:color w:val="333333"/>
          <w:sz w:val="24"/>
          <w:lang w:val="en-US" w:eastAsia="pt-BR"/>
        </w:rPr>
        <w:t xml:space="preserve"> become competitive in both domestic and international markets (Bresser-Pereira, 2006). </w:t>
      </w:r>
      <w:r w:rsidRPr="00387F4E">
        <w:rPr>
          <w:rFonts w:eastAsia="Times New Roman"/>
          <w:b/>
          <w:bCs/>
          <w:color w:val="333333"/>
          <w:sz w:val="24"/>
          <w:bdr w:val="none" w:sz="0" w:space="0" w:color="auto" w:frame="1"/>
          <w:lang w:val="en-US" w:eastAsia="pt-BR"/>
        </w:rPr>
        <w:t>Once the phase of infant industry is overcome, it is necessary to put in place a model of industrialization through the promotion of manufacturing exports, what Kaldor (1967) named as the stage 2 of industrial development</w:t>
      </w:r>
      <w:r w:rsidRPr="00387F4E">
        <w:rPr>
          <w:rFonts w:eastAsia="Times New Roman"/>
          <w:color w:val="333333"/>
          <w:sz w:val="24"/>
          <w:lang w:val="en-US" w:eastAsia="pt-BR"/>
        </w:rPr>
        <w:t>. In the words of Kaldor: </w:t>
      </w:r>
    </w:p>
    <w:p w14:paraId="698B4919" w14:textId="11897DD3"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w:t>
      </w:r>
      <w:r w:rsidRPr="00387F4E">
        <w:rPr>
          <w:rFonts w:eastAsia="Times New Roman"/>
          <w:i/>
          <w:iCs/>
          <w:color w:val="333333"/>
          <w:sz w:val="24"/>
          <w:bdr w:val="none" w:sz="0" w:space="0" w:color="auto" w:frame="1"/>
          <w:lang w:val="en-US" w:eastAsia="pt-BR"/>
        </w:rPr>
        <w:t xml:space="preserve">As the experience of many countries has shown, the stimulus of industrialization afforded by this </w:t>
      </w:r>
      <w:r w:rsidRPr="00387F4E">
        <w:rPr>
          <w:rFonts w:eastAsia="Times New Roman"/>
          <w:i/>
          <w:iCs/>
          <w:color w:val="333333"/>
          <w:sz w:val="24"/>
          <w:bdr w:val="none" w:sz="0" w:space="0" w:color="auto" w:frame="1"/>
          <w:lang w:val="en-US" w:eastAsia="pt-BR"/>
        </w:rPr>
        <w:t>pattern</w:t>
      </w:r>
      <w:r w:rsidRPr="00387F4E">
        <w:rPr>
          <w:rFonts w:eastAsia="Times New Roman"/>
          <w:i/>
          <w:iCs/>
          <w:color w:val="333333"/>
          <w:sz w:val="24"/>
          <w:bdr w:val="none" w:sz="0" w:space="0" w:color="auto" w:frame="1"/>
          <w:lang w:val="en-US" w:eastAsia="pt-BR"/>
        </w:rPr>
        <w:t xml:space="preserve"> out as the process of import substitution is gradually completed. </w:t>
      </w:r>
      <w:r w:rsidRPr="00387F4E">
        <w:rPr>
          <w:rFonts w:eastAsia="Times New Roman"/>
          <w:i/>
          <w:iCs/>
          <w:color w:val="333333"/>
          <w:sz w:val="24"/>
          <w:bdr w:val="none" w:sz="0" w:space="0" w:color="auto" w:frame="1"/>
          <w:lang w:val="en-US" w:eastAsia="pt-BR"/>
        </w:rPr>
        <w:lastRenderedPageBreak/>
        <w:t xml:space="preserve">To maintain </w:t>
      </w:r>
      <w:proofErr w:type="gramStart"/>
      <w:r w:rsidRPr="00387F4E">
        <w:rPr>
          <w:rFonts w:eastAsia="Times New Roman"/>
          <w:i/>
          <w:iCs/>
          <w:color w:val="333333"/>
          <w:sz w:val="24"/>
          <w:bdr w:val="none" w:sz="0" w:space="0" w:color="auto" w:frame="1"/>
          <w:lang w:val="en-US" w:eastAsia="pt-BR"/>
        </w:rPr>
        <w:t>development</w:t>
      </w:r>
      <w:proofErr w:type="gramEnd"/>
      <w:r w:rsidRPr="00387F4E">
        <w:rPr>
          <w:rFonts w:eastAsia="Times New Roman"/>
          <w:i/>
          <w:iCs/>
          <w:color w:val="333333"/>
          <w:sz w:val="24"/>
          <w:bdr w:val="none" w:sz="0" w:space="0" w:color="auto" w:frame="1"/>
          <w:lang w:val="en-US" w:eastAsia="pt-BR"/>
        </w:rPr>
        <w:t xml:space="preserve"> it is necessary for the industrializing country to enter a second stage during which it becomes a growing net export of manufacturer consumer </w:t>
      </w:r>
      <w:proofErr w:type="spellStart"/>
      <w:r w:rsidRPr="00387F4E">
        <w:rPr>
          <w:rFonts w:eastAsia="Times New Roman"/>
          <w:i/>
          <w:iCs/>
          <w:color w:val="333333"/>
          <w:sz w:val="24"/>
          <w:bdr w:val="none" w:sz="0" w:space="0" w:color="auto" w:frame="1"/>
          <w:lang w:val="en-US" w:eastAsia="pt-BR"/>
        </w:rPr>
        <w:t>good</w:t>
      </w:r>
      <w:proofErr w:type="spellEnd"/>
      <w:r w:rsidRPr="00387F4E">
        <w:rPr>
          <w:rFonts w:eastAsia="Times New Roman"/>
          <w:color w:val="333333"/>
          <w:sz w:val="24"/>
          <w:lang w:val="en-US" w:eastAsia="pt-BR"/>
        </w:rPr>
        <w:t>”</w:t>
      </w:r>
    </w:p>
    <w:p w14:paraId="1F803680" w14:textId="0A01F017"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b/>
          <w:bCs/>
          <w:color w:val="333333"/>
          <w:sz w:val="24"/>
          <w:bdr w:val="none" w:sz="0" w:space="0" w:color="auto" w:frame="1"/>
          <w:lang w:val="en-US" w:eastAsia="pt-BR"/>
        </w:rPr>
        <w:t xml:space="preserve">This model requires the adoption of a macroeconomic policy regime that allowed real exchange rate to </w:t>
      </w:r>
      <w:r w:rsidRPr="00387F4E">
        <w:rPr>
          <w:rFonts w:eastAsia="Times New Roman"/>
          <w:b/>
          <w:bCs/>
          <w:color w:val="333333"/>
          <w:sz w:val="24"/>
          <w:bdr w:val="none" w:sz="0" w:space="0" w:color="auto" w:frame="1"/>
          <w:lang w:val="en-US" w:eastAsia="pt-BR"/>
        </w:rPr>
        <w:t>remain</w:t>
      </w:r>
      <w:r w:rsidRPr="00387F4E">
        <w:rPr>
          <w:rFonts w:eastAsia="Times New Roman"/>
          <w:b/>
          <w:bCs/>
          <w:color w:val="333333"/>
          <w:sz w:val="24"/>
          <w:bdr w:val="none" w:sz="0" w:space="0" w:color="auto" w:frame="1"/>
          <w:lang w:val="en-US" w:eastAsia="pt-BR"/>
        </w:rPr>
        <w:t xml:space="preserve"> at a competitive level </w:t>
      </w:r>
      <w:proofErr w:type="gramStart"/>
      <w:r w:rsidRPr="00387F4E">
        <w:rPr>
          <w:rFonts w:eastAsia="Times New Roman"/>
          <w:b/>
          <w:bCs/>
          <w:color w:val="333333"/>
          <w:sz w:val="24"/>
          <w:bdr w:val="none" w:sz="0" w:space="0" w:color="auto" w:frame="1"/>
          <w:lang w:val="en-US" w:eastAsia="pt-BR"/>
        </w:rPr>
        <w:t>in order to</w:t>
      </w:r>
      <w:proofErr w:type="gramEnd"/>
      <w:r w:rsidRPr="00387F4E">
        <w:rPr>
          <w:rFonts w:eastAsia="Times New Roman"/>
          <w:b/>
          <w:bCs/>
          <w:color w:val="333333"/>
          <w:sz w:val="24"/>
          <w:bdr w:val="none" w:sz="0" w:space="0" w:color="auto" w:frame="1"/>
          <w:lang w:val="en-US" w:eastAsia="pt-BR"/>
        </w:rPr>
        <w:t xml:space="preserve"> compensate the technological </w:t>
      </w:r>
      <w:r w:rsidRPr="00387F4E">
        <w:rPr>
          <w:rFonts w:eastAsia="Times New Roman"/>
          <w:b/>
          <w:bCs/>
          <w:color w:val="333333"/>
          <w:sz w:val="24"/>
          <w:bdr w:val="none" w:sz="0" w:space="0" w:color="auto" w:frame="1"/>
          <w:lang w:val="en-US" w:eastAsia="pt-BR"/>
        </w:rPr>
        <w:t>backwardness</w:t>
      </w:r>
      <w:r w:rsidRPr="00387F4E">
        <w:rPr>
          <w:rFonts w:eastAsia="Times New Roman"/>
          <w:b/>
          <w:bCs/>
          <w:color w:val="333333"/>
          <w:sz w:val="24"/>
          <w:bdr w:val="none" w:sz="0" w:space="0" w:color="auto" w:frame="1"/>
          <w:lang w:val="en-US" w:eastAsia="pt-BR"/>
        </w:rPr>
        <w:t xml:space="preserve"> of domestic manufacturing industries in comparison with the manufacturing firms of developed countries that operate within the technological frontier</w:t>
      </w:r>
      <w:r w:rsidRPr="00387F4E">
        <w:rPr>
          <w:rFonts w:eastAsia="Times New Roman"/>
          <w:color w:val="333333"/>
          <w:sz w:val="24"/>
          <w:lang w:val="en-US" w:eastAsia="pt-BR"/>
        </w:rPr>
        <w:t>. </w:t>
      </w:r>
    </w:p>
    <w:p w14:paraId="14B78DFE" w14:textId="16E6855A"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 xml:space="preserve">Reducing the technological gap is a time-consuming process and </w:t>
      </w:r>
      <w:proofErr w:type="spellStart"/>
      <w:r w:rsidRPr="00387F4E">
        <w:rPr>
          <w:rFonts w:eastAsia="Times New Roman"/>
          <w:color w:val="333333"/>
          <w:sz w:val="24"/>
          <w:lang w:val="en-US" w:eastAsia="pt-BR"/>
        </w:rPr>
        <w:t>can not</w:t>
      </w:r>
      <w:proofErr w:type="spellEnd"/>
      <w:r w:rsidRPr="00387F4E">
        <w:rPr>
          <w:rFonts w:eastAsia="Times New Roman"/>
          <w:color w:val="333333"/>
          <w:sz w:val="24"/>
          <w:lang w:val="en-US" w:eastAsia="pt-BR"/>
        </w:rPr>
        <w:t xml:space="preserve"> be done at once, which means that </w:t>
      </w:r>
      <w:r w:rsidRPr="00387F4E">
        <w:rPr>
          <w:rFonts w:eastAsia="Times New Roman"/>
          <w:color w:val="333333"/>
          <w:sz w:val="24"/>
          <w:lang w:val="en-US" w:eastAsia="pt-BR"/>
        </w:rPr>
        <w:t>technological</w:t>
      </w:r>
      <w:r w:rsidRPr="00387F4E">
        <w:rPr>
          <w:rFonts w:eastAsia="Times New Roman"/>
          <w:color w:val="333333"/>
          <w:sz w:val="24"/>
          <w:lang w:val="en-US" w:eastAsia="pt-BR"/>
        </w:rPr>
        <w:t xml:space="preserve"> disadvantage of manufacturing exports of the new-industrialized Latin American countries, as well as in East Asia, had to be compensated by price </w:t>
      </w:r>
      <w:r w:rsidRPr="00387F4E">
        <w:rPr>
          <w:rFonts w:eastAsia="Times New Roman"/>
          <w:color w:val="333333"/>
          <w:sz w:val="24"/>
          <w:lang w:val="en-US" w:eastAsia="pt-BR"/>
        </w:rPr>
        <w:t>competitiveness</w:t>
      </w:r>
      <w:r w:rsidRPr="00387F4E">
        <w:rPr>
          <w:rFonts w:eastAsia="Times New Roman"/>
          <w:color w:val="333333"/>
          <w:sz w:val="24"/>
          <w:lang w:val="en-US" w:eastAsia="pt-BR"/>
        </w:rPr>
        <w:t xml:space="preserve"> in the form of </w:t>
      </w:r>
      <w:proofErr w:type="gramStart"/>
      <w:r w:rsidRPr="00387F4E">
        <w:rPr>
          <w:rFonts w:eastAsia="Times New Roman"/>
          <w:color w:val="333333"/>
          <w:sz w:val="24"/>
          <w:lang w:val="en-US" w:eastAsia="pt-BR"/>
        </w:rPr>
        <w:t>a</w:t>
      </w:r>
      <w:proofErr w:type="gramEnd"/>
      <w:r w:rsidRPr="00387F4E">
        <w:rPr>
          <w:rFonts w:eastAsia="Times New Roman"/>
          <w:color w:val="333333"/>
          <w:sz w:val="24"/>
          <w:lang w:val="en-US" w:eastAsia="pt-BR"/>
        </w:rPr>
        <w:t xml:space="preserve"> undervalued exchange rate. The abundance of natural resources combined with liberalization of capital account of balance of payments in the </w:t>
      </w:r>
      <w:r w:rsidRPr="00387F4E">
        <w:rPr>
          <w:rFonts w:eastAsia="Times New Roman"/>
          <w:color w:val="333333"/>
          <w:sz w:val="24"/>
          <w:lang w:val="en-US" w:eastAsia="pt-BR"/>
        </w:rPr>
        <w:t>beginning</w:t>
      </w:r>
      <w:r w:rsidRPr="00387F4E">
        <w:rPr>
          <w:rFonts w:eastAsia="Times New Roman"/>
          <w:color w:val="333333"/>
          <w:sz w:val="24"/>
          <w:lang w:val="en-US" w:eastAsia="pt-BR"/>
        </w:rPr>
        <w:t xml:space="preserve"> of the 1990 had produced a trend of overvaluation of real exchange rate in Latin-American countries, reducing the price-</w:t>
      </w:r>
      <w:r w:rsidRPr="00387F4E">
        <w:rPr>
          <w:rFonts w:eastAsia="Times New Roman"/>
          <w:color w:val="333333"/>
          <w:sz w:val="24"/>
          <w:lang w:val="en-US" w:eastAsia="pt-BR"/>
        </w:rPr>
        <w:t>competitiveness</w:t>
      </w:r>
      <w:r w:rsidRPr="00387F4E">
        <w:rPr>
          <w:rFonts w:eastAsia="Times New Roman"/>
          <w:color w:val="333333"/>
          <w:sz w:val="24"/>
          <w:lang w:val="en-US" w:eastAsia="pt-BR"/>
        </w:rPr>
        <w:t xml:space="preserve"> of </w:t>
      </w:r>
      <w:r w:rsidRPr="00387F4E">
        <w:rPr>
          <w:rFonts w:eastAsia="Times New Roman"/>
          <w:color w:val="333333"/>
          <w:sz w:val="24"/>
          <w:lang w:val="en-US" w:eastAsia="pt-BR"/>
        </w:rPr>
        <w:t>manufacturing</w:t>
      </w:r>
      <w:r w:rsidRPr="00387F4E">
        <w:rPr>
          <w:rFonts w:eastAsia="Times New Roman"/>
          <w:color w:val="333333"/>
          <w:sz w:val="24"/>
          <w:lang w:val="en-US" w:eastAsia="pt-BR"/>
        </w:rPr>
        <w:t xml:space="preserve"> exports and</w:t>
      </w:r>
      <w:r w:rsidRPr="00387F4E">
        <w:rPr>
          <w:rFonts w:eastAsia="Times New Roman"/>
          <w:b/>
          <w:bCs/>
          <w:color w:val="333333"/>
          <w:sz w:val="24"/>
          <w:bdr w:val="none" w:sz="0" w:space="0" w:color="auto" w:frame="1"/>
          <w:lang w:val="en-US" w:eastAsia="pt-BR"/>
        </w:rPr>
        <w:t> hence in a falling share of manufacturing exports of Latin American countries in total world manufacturing exports.</w:t>
      </w:r>
      <w:r w:rsidRPr="00387F4E">
        <w:rPr>
          <w:rFonts w:eastAsia="Times New Roman"/>
          <w:color w:val="333333"/>
          <w:sz w:val="24"/>
          <w:lang w:val="en-US" w:eastAsia="pt-BR"/>
        </w:rPr>
        <w:t xml:space="preserve"> East Asia did not suffer from the same trouble: the combination of low natural resources with large capital controls had contributed to keep real exchange rate at competitive or undervalued level, allowing these countries to increase their share of world´s manufacturing exports. In terms of the 1967 Kaldor´s model, Latin America failed to enter in the phase 2 of industrial development, but East Asia had been </w:t>
      </w:r>
      <w:r w:rsidRPr="00387F4E">
        <w:rPr>
          <w:rFonts w:eastAsia="Times New Roman"/>
          <w:color w:val="333333"/>
          <w:sz w:val="24"/>
          <w:lang w:val="en-US" w:eastAsia="pt-BR"/>
        </w:rPr>
        <w:t>extremely</w:t>
      </w:r>
      <w:r w:rsidRPr="00387F4E">
        <w:rPr>
          <w:rFonts w:eastAsia="Times New Roman"/>
          <w:color w:val="333333"/>
          <w:sz w:val="24"/>
          <w:lang w:val="en-US" w:eastAsia="pt-BR"/>
        </w:rPr>
        <w:t xml:space="preserve"> </w:t>
      </w:r>
      <w:r w:rsidRPr="00387F4E">
        <w:rPr>
          <w:rFonts w:eastAsia="Times New Roman"/>
          <w:color w:val="333333"/>
          <w:sz w:val="24"/>
          <w:lang w:val="en-US" w:eastAsia="pt-BR"/>
        </w:rPr>
        <w:t>successful</w:t>
      </w:r>
      <w:r w:rsidRPr="00387F4E">
        <w:rPr>
          <w:rFonts w:eastAsia="Times New Roman"/>
          <w:color w:val="333333"/>
          <w:sz w:val="24"/>
          <w:lang w:val="en-US" w:eastAsia="pt-BR"/>
        </w:rPr>
        <w:t>. </w:t>
      </w:r>
    </w:p>
    <w:p w14:paraId="60CEF34E" w14:textId="77777777"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 xml:space="preserve">BPCG models shared with new-developmentalism the role of exports as the engine of long-term growth. In the words of </w:t>
      </w:r>
      <w:proofErr w:type="spellStart"/>
      <w:r w:rsidRPr="00387F4E">
        <w:rPr>
          <w:rFonts w:eastAsia="Times New Roman"/>
          <w:color w:val="333333"/>
          <w:sz w:val="24"/>
          <w:lang w:val="en-US" w:eastAsia="pt-BR"/>
        </w:rPr>
        <w:t>Thirwall</w:t>
      </w:r>
      <w:proofErr w:type="spellEnd"/>
      <w:r w:rsidRPr="00387F4E">
        <w:rPr>
          <w:rFonts w:eastAsia="Times New Roman"/>
          <w:color w:val="333333"/>
          <w:sz w:val="24"/>
          <w:lang w:val="en-US" w:eastAsia="pt-BR"/>
        </w:rPr>
        <w:t xml:space="preserve"> and Dixon (1979): </w:t>
      </w:r>
    </w:p>
    <w:p w14:paraId="7E58F3B7" w14:textId="77777777"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w:t>
      </w:r>
      <w:r w:rsidRPr="00387F4E">
        <w:rPr>
          <w:rFonts w:eastAsia="Times New Roman"/>
          <w:i/>
          <w:iCs/>
          <w:color w:val="333333"/>
          <w:sz w:val="24"/>
          <w:bdr w:val="none" w:sz="0" w:space="0" w:color="auto" w:frame="1"/>
          <w:lang w:val="en-US" w:eastAsia="pt-BR"/>
        </w:rPr>
        <w:t xml:space="preserve">Thus, </w:t>
      </w:r>
      <w:proofErr w:type="gramStart"/>
      <w:r w:rsidRPr="00387F4E">
        <w:rPr>
          <w:rFonts w:eastAsia="Times New Roman"/>
          <w:i/>
          <w:iCs/>
          <w:color w:val="333333"/>
          <w:sz w:val="24"/>
          <w:bdr w:val="none" w:sz="0" w:space="0" w:color="auto" w:frame="1"/>
          <w:lang w:val="en-US" w:eastAsia="pt-BR"/>
        </w:rPr>
        <w:t>as long as</w:t>
      </w:r>
      <w:proofErr w:type="gramEnd"/>
      <w:r w:rsidRPr="00387F4E">
        <w:rPr>
          <w:rFonts w:eastAsia="Times New Roman"/>
          <w:i/>
          <w:iCs/>
          <w:color w:val="333333"/>
          <w:sz w:val="24"/>
          <w:bdr w:val="none" w:sz="0" w:space="0" w:color="auto" w:frame="1"/>
          <w:lang w:val="en-US" w:eastAsia="pt-BR"/>
        </w:rPr>
        <w:t xml:space="preserve"> the income elasticity of exports is greater than unity, which appears to be for most countries, the ratio of exports growth to income growth will almost certainly show an historical tendency to exceed unity. Indeed, one could go further and say that if the income </w:t>
      </w:r>
      <w:proofErr w:type="spellStart"/>
      <w:r w:rsidRPr="00387F4E">
        <w:rPr>
          <w:rFonts w:eastAsia="Times New Roman"/>
          <w:i/>
          <w:iCs/>
          <w:color w:val="333333"/>
          <w:sz w:val="24"/>
          <w:bdr w:val="none" w:sz="0" w:space="0" w:color="auto" w:frame="1"/>
          <w:lang w:val="en-US" w:eastAsia="pt-BR"/>
        </w:rPr>
        <w:t>elasticy</w:t>
      </w:r>
      <w:proofErr w:type="spellEnd"/>
      <w:r w:rsidRPr="00387F4E">
        <w:rPr>
          <w:rFonts w:eastAsia="Times New Roman"/>
          <w:i/>
          <w:iCs/>
          <w:color w:val="333333"/>
          <w:sz w:val="24"/>
          <w:bdr w:val="none" w:sz="0" w:space="0" w:color="auto" w:frame="1"/>
          <w:lang w:val="en-US" w:eastAsia="pt-BR"/>
        </w:rPr>
        <w:t xml:space="preserve"> of demand for imports exceed unity the export sector must expand relative to the total of the economy if growth is to be sustained</w:t>
      </w:r>
      <w:r w:rsidRPr="00387F4E">
        <w:rPr>
          <w:rFonts w:eastAsia="Times New Roman"/>
          <w:color w:val="333333"/>
          <w:sz w:val="24"/>
          <w:lang w:val="en-US" w:eastAsia="pt-BR"/>
        </w:rPr>
        <w:t>” (p.174)</w:t>
      </w:r>
    </w:p>
    <w:p w14:paraId="358AA167" w14:textId="77777777"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I</w:t>
      </w:r>
      <w:r w:rsidRPr="00387F4E">
        <w:rPr>
          <w:rFonts w:eastAsia="Times New Roman"/>
          <w:b/>
          <w:bCs/>
          <w:color w:val="333333"/>
          <w:sz w:val="24"/>
          <w:bdr w:val="none" w:sz="0" w:space="0" w:color="auto" w:frame="1"/>
          <w:lang w:val="en-US" w:eastAsia="pt-BR"/>
        </w:rPr>
        <w:t xml:space="preserve">f an income elasticity of imports greater than one demands exports to grow at a higher rate than domestic output; this means that a sustainable growth path from the perspective of balance of payments requires an increase in the ratio of exports to GDP, which means that output growth must me export-led </w:t>
      </w:r>
      <w:proofErr w:type="gramStart"/>
      <w:r w:rsidRPr="00387F4E">
        <w:rPr>
          <w:rFonts w:eastAsia="Times New Roman"/>
          <w:b/>
          <w:bCs/>
          <w:color w:val="333333"/>
          <w:sz w:val="24"/>
          <w:bdr w:val="none" w:sz="0" w:space="0" w:color="auto" w:frame="1"/>
          <w:lang w:val="en-US" w:eastAsia="pt-BR"/>
        </w:rPr>
        <w:t>in order to</w:t>
      </w:r>
      <w:proofErr w:type="gramEnd"/>
      <w:r w:rsidRPr="00387F4E">
        <w:rPr>
          <w:rFonts w:eastAsia="Times New Roman"/>
          <w:b/>
          <w:bCs/>
          <w:color w:val="333333"/>
          <w:sz w:val="24"/>
          <w:bdr w:val="none" w:sz="0" w:space="0" w:color="auto" w:frame="1"/>
          <w:lang w:val="en-US" w:eastAsia="pt-BR"/>
        </w:rPr>
        <w:t xml:space="preserve"> be sustainable.</w:t>
      </w:r>
    </w:p>
    <w:p w14:paraId="225EB1E1" w14:textId="77777777"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 xml:space="preserve">A similar argument is presented in Bresser-Pereira, </w:t>
      </w:r>
      <w:proofErr w:type="spellStart"/>
      <w:r w:rsidRPr="00387F4E">
        <w:rPr>
          <w:rFonts w:eastAsia="Times New Roman"/>
          <w:color w:val="333333"/>
          <w:sz w:val="24"/>
          <w:lang w:val="en-US" w:eastAsia="pt-BR"/>
        </w:rPr>
        <w:t>Oreiro</w:t>
      </w:r>
      <w:proofErr w:type="spellEnd"/>
      <w:r w:rsidRPr="00387F4E">
        <w:rPr>
          <w:rFonts w:eastAsia="Times New Roman"/>
          <w:color w:val="333333"/>
          <w:sz w:val="24"/>
          <w:lang w:val="en-US" w:eastAsia="pt-BR"/>
        </w:rPr>
        <w:t xml:space="preserve"> and Marconi (2015): </w:t>
      </w:r>
    </w:p>
    <w:p w14:paraId="25DAC6D4" w14:textId="09803AA2"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w:t>
      </w:r>
      <w:r w:rsidRPr="00387F4E">
        <w:rPr>
          <w:rFonts w:eastAsia="Times New Roman"/>
          <w:i/>
          <w:iCs/>
          <w:color w:val="333333"/>
          <w:sz w:val="24"/>
          <w:bdr w:val="none" w:sz="0" w:space="0" w:color="auto" w:frame="1"/>
          <w:lang w:val="en-US" w:eastAsia="pt-BR"/>
        </w:rPr>
        <w:t xml:space="preserve">For a </w:t>
      </w:r>
      <w:r w:rsidRPr="00387F4E">
        <w:rPr>
          <w:rFonts w:eastAsia="Times New Roman"/>
          <w:i/>
          <w:iCs/>
          <w:color w:val="333333"/>
          <w:sz w:val="24"/>
          <w:bdr w:val="none" w:sz="0" w:space="0" w:color="auto" w:frame="1"/>
          <w:lang w:val="en-US" w:eastAsia="pt-BR"/>
        </w:rPr>
        <w:t>small</w:t>
      </w:r>
      <w:r w:rsidRPr="00387F4E">
        <w:rPr>
          <w:rFonts w:eastAsia="Times New Roman"/>
          <w:i/>
          <w:iCs/>
          <w:color w:val="333333"/>
          <w:sz w:val="24"/>
          <w:bdr w:val="none" w:sz="0" w:space="0" w:color="auto" w:frame="1"/>
          <w:lang w:val="en-US" w:eastAsia="pt-BR"/>
        </w:rPr>
        <w:t xml:space="preserve"> open economy that lacks a convertible currency, as is the case of </w:t>
      </w:r>
      <w:proofErr w:type="gramStart"/>
      <w:r w:rsidRPr="00387F4E">
        <w:rPr>
          <w:rFonts w:eastAsia="Times New Roman"/>
          <w:i/>
          <w:iCs/>
          <w:color w:val="333333"/>
          <w:sz w:val="24"/>
          <w:bdr w:val="none" w:sz="0" w:space="0" w:color="auto" w:frame="1"/>
          <w:lang w:val="en-US" w:eastAsia="pt-BR"/>
        </w:rPr>
        <w:t>the vast majority of</w:t>
      </w:r>
      <w:proofErr w:type="gramEnd"/>
      <w:r w:rsidRPr="00387F4E">
        <w:rPr>
          <w:rFonts w:eastAsia="Times New Roman"/>
          <w:i/>
          <w:iCs/>
          <w:color w:val="333333"/>
          <w:sz w:val="24"/>
          <w:bdr w:val="none" w:sz="0" w:space="0" w:color="auto" w:frame="1"/>
          <w:lang w:val="en-US" w:eastAsia="pt-BR"/>
        </w:rPr>
        <w:t xml:space="preserve"> the middle-development countries, the exports growth is the exogenous variable par excellence. The reason is that, if the growth rate of public expenditure is higher than the exports growth rate, then output and domestic income will grow more than exports. If income elasticity of imports is higher than one (as it </w:t>
      </w:r>
      <w:r w:rsidRPr="00387F4E">
        <w:rPr>
          <w:rFonts w:eastAsia="Times New Roman"/>
          <w:i/>
          <w:iCs/>
          <w:color w:val="333333"/>
          <w:sz w:val="24"/>
          <w:bdr w:val="none" w:sz="0" w:space="0" w:color="auto" w:frame="1"/>
          <w:lang w:val="en-US" w:eastAsia="pt-BR"/>
        </w:rPr>
        <w:t>usually</w:t>
      </w:r>
      <w:r w:rsidRPr="00387F4E">
        <w:rPr>
          <w:rFonts w:eastAsia="Times New Roman"/>
          <w:i/>
          <w:iCs/>
          <w:color w:val="333333"/>
          <w:sz w:val="24"/>
          <w:bdr w:val="none" w:sz="0" w:space="0" w:color="auto" w:frame="1"/>
          <w:lang w:val="en-US" w:eastAsia="pt-BR"/>
        </w:rPr>
        <w:t xml:space="preserve"> is in medium-development economy), then imports will grow higher than exports, generating a growing trade deficit which will probably be </w:t>
      </w:r>
      <w:proofErr w:type="spellStart"/>
      <w:r w:rsidRPr="00387F4E">
        <w:rPr>
          <w:rFonts w:eastAsia="Times New Roman"/>
          <w:i/>
          <w:iCs/>
          <w:color w:val="333333"/>
          <w:sz w:val="24"/>
          <w:bdr w:val="none" w:sz="0" w:space="0" w:color="auto" w:frame="1"/>
          <w:lang w:val="en-US" w:eastAsia="pt-BR"/>
        </w:rPr>
        <w:t>unteanable</w:t>
      </w:r>
      <w:proofErr w:type="spellEnd"/>
      <w:r w:rsidRPr="00387F4E">
        <w:rPr>
          <w:rFonts w:eastAsia="Times New Roman"/>
          <w:i/>
          <w:iCs/>
          <w:color w:val="333333"/>
          <w:sz w:val="24"/>
          <w:bdr w:val="none" w:sz="0" w:space="0" w:color="auto" w:frame="1"/>
          <w:lang w:val="en-US" w:eastAsia="pt-BR"/>
        </w:rPr>
        <w:t xml:space="preserve"> in the long-term</w:t>
      </w:r>
      <w:r w:rsidRPr="00387F4E">
        <w:rPr>
          <w:rFonts w:eastAsia="Times New Roman"/>
          <w:color w:val="333333"/>
          <w:sz w:val="24"/>
          <w:lang w:val="en-US" w:eastAsia="pt-BR"/>
        </w:rPr>
        <w:t>” (p.29). </w:t>
      </w:r>
    </w:p>
    <w:p w14:paraId="550A6E6F" w14:textId="29C4637C"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 xml:space="preserve">The divergence of new developmentalism with BPCG models regards the role of exchange rate in the process of economic development and, more specifically, it´s ability in promoting the exports of manufacturing goods. </w:t>
      </w:r>
      <w:proofErr w:type="spellStart"/>
      <w:r w:rsidRPr="00387F4E">
        <w:rPr>
          <w:rFonts w:eastAsia="Times New Roman"/>
          <w:color w:val="333333"/>
          <w:sz w:val="24"/>
          <w:lang w:val="en-US" w:eastAsia="pt-BR"/>
        </w:rPr>
        <w:t>Thirwall</w:t>
      </w:r>
      <w:proofErr w:type="spellEnd"/>
      <w:r w:rsidRPr="00387F4E">
        <w:rPr>
          <w:rFonts w:eastAsia="Times New Roman"/>
          <w:color w:val="333333"/>
          <w:sz w:val="24"/>
          <w:lang w:val="en-US" w:eastAsia="pt-BR"/>
        </w:rPr>
        <w:t xml:space="preserve"> and Dixit (1979) argues that exports growth </w:t>
      </w:r>
      <w:proofErr w:type="spellStart"/>
      <w:r w:rsidRPr="00387F4E">
        <w:rPr>
          <w:rFonts w:eastAsia="Times New Roman"/>
          <w:color w:val="333333"/>
          <w:sz w:val="24"/>
          <w:lang w:val="en-US" w:eastAsia="pt-BR"/>
        </w:rPr>
        <w:t>can not</w:t>
      </w:r>
      <w:proofErr w:type="spellEnd"/>
      <w:r w:rsidRPr="00387F4E">
        <w:rPr>
          <w:rFonts w:eastAsia="Times New Roman"/>
          <w:color w:val="333333"/>
          <w:sz w:val="24"/>
          <w:lang w:val="en-US" w:eastAsia="pt-BR"/>
        </w:rPr>
        <w:t xml:space="preserve"> be affected by the level of real exchange rate or, in </w:t>
      </w:r>
      <w:r w:rsidRPr="00387F4E">
        <w:rPr>
          <w:rFonts w:eastAsia="Times New Roman"/>
          <w:color w:val="333333"/>
          <w:sz w:val="24"/>
          <w:lang w:val="en-US" w:eastAsia="pt-BR"/>
        </w:rPr>
        <w:lastRenderedPageBreak/>
        <w:t xml:space="preserve">their words, “on the absolute difference between domestic and foreign prices” (p.177); but only by the difference between the rate of change of domestic prices and foreign </w:t>
      </w:r>
      <w:r w:rsidR="00125AA8" w:rsidRPr="00387F4E">
        <w:rPr>
          <w:rFonts w:eastAsia="Times New Roman"/>
          <w:color w:val="333333"/>
          <w:sz w:val="24"/>
          <w:lang w:val="en-US" w:eastAsia="pt-BR"/>
        </w:rPr>
        <w:t>prices” (</w:t>
      </w:r>
      <w:r w:rsidRPr="00387F4E">
        <w:rPr>
          <w:rFonts w:eastAsia="Times New Roman"/>
          <w:color w:val="333333"/>
          <w:sz w:val="24"/>
          <w:lang w:val="en-US" w:eastAsia="pt-BR"/>
        </w:rPr>
        <w:t>p.177-178), which is the same as the rate of change of real exchange rate. Although the authors explicitly recognizes that a depreciation of nominal exchange rate is capable to increase the growth rate of real output compatible with the balance of payments equilibrium, </w:t>
      </w:r>
      <w:r w:rsidRPr="00387F4E">
        <w:rPr>
          <w:rFonts w:eastAsia="Times New Roman"/>
          <w:b/>
          <w:bCs/>
          <w:color w:val="333333"/>
          <w:sz w:val="24"/>
          <w:bdr w:val="none" w:sz="0" w:space="0" w:color="auto" w:frame="1"/>
          <w:lang w:val="en-US" w:eastAsia="pt-BR"/>
        </w:rPr>
        <w:t xml:space="preserve">since the </w:t>
      </w:r>
      <w:r w:rsidR="00125AA8" w:rsidRPr="00387F4E">
        <w:rPr>
          <w:rFonts w:eastAsia="Times New Roman"/>
          <w:b/>
          <w:bCs/>
          <w:color w:val="333333"/>
          <w:sz w:val="24"/>
          <w:bdr w:val="none" w:sz="0" w:space="0" w:color="auto" w:frame="1"/>
          <w:lang w:val="en-US" w:eastAsia="pt-BR"/>
        </w:rPr>
        <w:t>Marshall</w:t>
      </w:r>
      <w:r w:rsidRPr="00387F4E">
        <w:rPr>
          <w:rFonts w:eastAsia="Times New Roman"/>
          <w:b/>
          <w:bCs/>
          <w:color w:val="333333"/>
          <w:sz w:val="24"/>
          <w:bdr w:val="none" w:sz="0" w:space="0" w:color="auto" w:frame="1"/>
          <w:lang w:val="en-US" w:eastAsia="pt-BR"/>
        </w:rPr>
        <w:t>-Lerner condition is likely to be satisfied in most countries</w:t>
      </w:r>
      <w:r w:rsidRPr="00387F4E">
        <w:rPr>
          <w:rFonts w:eastAsia="Times New Roman"/>
          <w:color w:val="333333"/>
          <w:sz w:val="24"/>
          <w:lang w:val="en-US" w:eastAsia="pt-BR"/>
        </w:rPr>
        <w:t> (p.184-185); they argue that an “improvement in the growth rate can only be once-and-for-all unless depreciation is continuous” (p.183), which means that in order to increase the output growth, policy makers must increase the rate of nominal exchange rate depreciation instead of make a once-and-for-all depreciation of the level of nominal exchange rate. However, a continuous change in the relative prices of domestic goods and foreign goods is clearly unsustainable in the long-term: the real exchange rate cannot change forever in one direction or another, it had to reach some equilibrium level. </w:t>
      </w:r>
    </w:p>
    <w:p w14:paraId="0C3B73BD" w14:textId="77777777"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 xml:space="preserve">Regarding the equilibrium level of real exchange rate, </w:t>
      </w:r>
      <w:proofErr w:type="spellStart"/>
      <w:r w:rsidRPr="00387F4E">
        <w:rPr>
          <w:rFonts w:eastAsia="Times New Roman"/>
          <w:color w:val="333333"/>
          <w:sz w:val="24"/>
          <w:lang w:val="en-US" w:eastAsia="pt-BR"/>
        </w:rPr>
        <w:t>Thirwall</w:t>
      </w:r>
      <w:proofErr w:type="spellEnd"/>
      <w:r w:rsidRPr="00387F4E">
        <w:rPr>
          <w:rFonts w:eastAsia="Times New Roman"/>
          <w:color w:val="333333"/>
          <w:sz w:val="24"/>
          <w:lang w:val="en-US" w:eastAsia="pt-BR"/>
        </w:rPr>
        <w:t xml:space="preserve"> and Dixit (1979) suggests that it can be given by the law of one price (p.184); or, in other words, </w:t>
      </w:r>
      <w:r w:rsidRPr="00387F4E">
        <w:rPr>
          <w:rFonts w:eastAsia="Times New Roman"/>
          <w:b/>
          <w:bCs/>
          <w:color w:val="333333"/>
          <w:sz w:val="24"/>
          <w:bdr w:val="none" w:sz="0" w:space="0" w:color="auto" w:frame="1"/>
          <w:lang w:val="en-US" w:eastAsia="pt-BR"/>
        </w:rPr>
        <w:t>by the strong version of the Purchasing Power Parity (PPP) Theorem according to which the real exchange rate in the long run is constant and equal to one</w:t>
      </w:r>
      <w:r w:rsidRPr="00387F4E">
        <w:rPr>
          <w:rFonts w:eastAsia="Times New Roman"/>
          <w:color w:val="333333"/>
          <w:sz w:val="24"/>
          <w:lang w:val="en-US" w:eastAsia="pt-BR"/>
        </w:rPr>
        <w:t>. Another possibility is that in the long run all changes in the rate of change of nominal exchange rate gives rises to equal increases in the rate of change of domestic prices, so that real exchange rate remains unchanged; </w:t>
      </w:r>
      <w:r w:rsidRPr="00387F4E">
        <w:rPr>
          <w:rFonts w:eastAsia="Times New Roman"/>
          <w:b/>
          <w:bCs/>
          <w:color w:val="333333"/>
          <w:sz w:val="24"/>
          <w:bdr w:val="none" w:sz="0" w:space="0" w:color="auto" w:frame="1"/>
          <w:lang w:val="en-US" w:eastAsia="pt-BR"/>
        </w:rPr>
        <w:t>but in this case, the equilibrium level of real exchange rate is undetermined by the model proposed by the authors. </w:t>
      </w:r>
    </w:p>
    <w:p w14:paraId="5FD3E436" w14:textId="326559B6"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b/>
          <w:bCs/>
          <w:color w:val="333333"/>
          <w:sz w:val="24"/>
          <w:bdr w:val="none" w:sz="0" w:space="0" w:color="auto" w:frame="1"/>
          <w:lang w:val="en-US" w:eastAsia="pt-BR"/>
        </w:rPr>
        <w:t>In contrast to BPCG, new developmentalism argues that long-run equilibrium level of real exchange rate is given by the level of real exchange rate for which the share of manufacturing industry in GDP is constant over time </w:t>
      </w:r>
      <w:r w:rsidRPr="00387F4E">
        <w:rPr>
          <w:rFonts w:eastAsia="Times New Roman"/>
          <w:color w:val="333333"/>
          <w:sz w:val="24"/>
          <w:lang w:val="en-US" w:eastAsia="pt-BR"/>
        </w:rPr>
        <w:t xml:space="preserve">(See </w:t>
      </w:r>
      <w:proofErr w:type="spellStart"/>
      <w:r w:rsidRPr="00387F4E">
        <w:rPr>
          <w:rFonts w:eastAsia="Times New Roman"/>
          <w:color w:val="333333"/>
          <w:sz w:val="24"/>
          <w:lang w:val="en-US" w:eastAsia="pt-BR"/>
        </w:rPr>
        <w:t>Oreiro</w:t>
      </w:r>
      <w:proofErr w:type="spellEnd"/>
      <w:r w:rsidRPr="00387F4E">
        <w:rPr>
          <w:rFonts w:eastAsia="Times New Roman"/>
          <w:color w:val="333333"/>
          <w:sz w:val="24"/>
          <w:lang w:val="en-US" w:eastAsia="pt-BR"/>
        </w:rPr>
        <w:t xml:space="preserve">, 2020; </w:t>
      </w:r>
      <w:proofErr w:type="spellStart"/>
      <w:r w:rsidRPr="00387F4E">
        <w:rPr>
          <w:rFonts w:eastAsia="Times New Roman"/>
          <w:color w:val="333333"/>
          <w:sz w:val="24"/>
          <w:lang w:val="en-US" w:eastAsia="pt-BR"/>
        </w:rPr>
        <w:t>Oreiro</w:t>
      </w:r>
      <w:proofErr w:type="spellEnd"/>
      <w:r w:rsidRPr="00387F4E">
        <w:rPr>
          <w:rFonts w:eastAsia="Times New Roman"/>
          <w:color w:val="333333"/>
          <w:sz w:val="24"/>
          <w:lang w:val="en-US" w:eastAsia="pt-BR"/>
        </w:rPr>
        <w:t xml:space="preserve">, </w:t>
      </w:r>
      <w:proofErr w:type="spellStart"/>
      <w:r w:rsidRPr="00387F4E">
        <w:rPr>
          <w:rFonts w:eastAsia="Times New Roman"/>
          <w:color w:val="333333"/>
          <w:sz w:val="24"/>
          <w:lang w:val="en-US" w:eastAsia="pt-BR"/>
        </w:rPr>
        <w:t>D´Agostini</w:t>
      </w:r>
      <w:proofErr w:type="spellEnd"/>
      <w:r w:rsidRPr="00387F4E">
        <w:rPr>
          <w:rFonts w:eastAsia="Times New Roman"/>
          <w:color w:val="333333"/>
          <w:sz w:val="24"/>
          <w:lang w:val="en-US" w:eastAsia="pt-BR"/>
        </w:rPr>
        <w:t xml:space="preserve"> and Gala, 2020; and </w:t>
      </w:r>
      <w:proofErr w:type="spellStart"/>
      <w:r w:rsidRPr="00387F4E">
        <w:rPr>
          <w:rFonts w:eastAsia="Times New Roman"/>
          <w:color w:val="333333"/>
          <w:sz w:val="24"/>
          <w:lang w:val="en-US" w:eastAsia="pt-BR"/>
        </w:rPr>
        <w:t>Oreiro</w:t>
      </w:r>
      <w:proofErr w:type="spellEnd"/>
      <w:r w:rsidRPr="00387F4E">
        <w:rPr>
          <w:rFonts w:eastAsia="Times New Roman"/>
          <w:color w:val="333333"/>
          <w:sz w:val="24"/>
          <w:lang w:val="en-US" w:eastAsia="pt-BR"/>
        </w:rPr>
        <w:t xml:space="preserve">, Martins da Silva and </w:t>
      </w:r>
      <w:proofErr w:type="spellStart"/>
      <w:r w:rsidRPr="00387F4E">
        <w:rPr>
          <w:rFonts w:eastAsia="Times New Roman"/>
          <w:color w:val="333333"/>
          <w:sz w:val="24"/>
          <w:lang w:val="en-US" w:eastAsia="pt-BR"/>
        </w:rPr>
        <w:t>Dávila</w:t>
      </w:r>
      <w:proofErr w:type="spellEnd"/>
      <w:r w:rsidRPr="00387F4E">
        <w:rPr>
          <w:rFonts w:eastAsia="Times New Roman"/>
          <w:color w:val="333333"/>
          <w:sz w:val="24"/>
          <w:lang w:val="en-US" w:eastAsia="pt-BR"/>
        </w:rPr>
        <w:t xml:space="preserve">-Fernandes, 2020). If the actual level of real exchange rate is equal to the industrial equilibrium level, then the growth rate of real output will be determined by the growth rate of exports – with the investment rate adjusting </w:t>
      </w:r>
      <w:r w:rsidRPr="00387F4E">
        <w:rPr>
          <w:rFonts w:eastAsia="Times New Roman"/>
          <w:color w:val="333333"/>
          <w:sz w:val="24"/>
          <w:lang w:val="en-US" w:eastAsia="pt-BR"/>
        </w:rPr>
        <w:t>itself</w:t>
      </w:r>
      <w:r w:rsidRPr="00387F4E">
        <w:rPr>
          <w:rFonts w:eastAsia="Times New Roman"/>
          <w:color w:val="333333"/>
          <w:sz w:val="24"/>
          <w:lang w:val="en-US" w:eastAsia="pt-BR"/>
        </w:rPr>
        <w:t xml:space="preserve"> to the growth rate of exports in order to keep capacity utilization at the normal level in the long run – and the country will run a surplus in the current account of balance of payments as a ratio to GDP if it is capable to both neutralize the Dutch disease and control the inflows of foreign capital. In this scenario the balance of payments constraint will never be a binding constraint: the growth rate of real output will be lower than the one compatible with the equilibrium in the balance of payments. In this context, the restriction to output growth will be given by (</w:t>
      </w:r>
      <w:proofErr w:type="spellStart"/>
      <w:r w:rsidRPr="00387F4E">
        <w:rPr>
          <w:rFonts w:eastAsia="Times New Roman"/>
          <w:color w:val="333333"/>
          <w:sz w:val="24"/>
          <w:lang w:val="en-US" w:eastAsia="pt-BR"/>
        </w:rPr>
        <w:t>i</w:t>
      </w:r>
      <w:proofErr w:type="spellEnd"/>
      <w:r w:rsidRPr="00387F4E">
        <w:rPr>
          <w:rFonts w:eastAsia="Times New Roman"/>
          <w:color w:val="333333"/>
          <w:sz w:val="24"/>
          <w:lang w:val="en-US" w:eastAsia="pt-BR"/>
        </w:rPr>
        <w:t>) the growth rate of international trade and (ii) the size of technological gap which largely determines the income elasticity of exports. </w:t>
      </w:r>
    </w:p>
    <w:p w14:paraId="5EE6E18E" w14:textId="378459BD"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To sum up. </w:t>
      </w:r>
      <w:r w:rsidRPr="00387F4E">
        <w:rPr>
          <w:rFonts w:eastAsia="Times New Roman"/>
          <w:b/>
          <w:bCs/>
          <w:color w:val="333333"/>
          <w:sz w:val="24"/>
          <w:bdr w:val="none" w:sz="0" w:space="0" w:color="auto" w:frame="1"/>
          <w:lang w:val="en-US" w:eastAsia="pt-BR"/>
        </w:rPr>
        <w:t>New-Developmentalism shares with the BPCG models the thesis that exports growth is the engine of long-term growth of capitalist economies, at least those ones that did not had a convertible currency and hence are incapable to finance a permanent disequilibrium in the balance of payments</w:t>
      </w:r>
      <w:r w:rsidRPr="00387F4E">
        <w:rPr>
          <w:rFonts w:eastAsia="Times New Roman"/>
          <w:color w:val="333333"/>
          <w:sz w:val="24"/>
          <w:lang w:val="en-US" w:eastAsia="pt-BR"/>
        </w:rPr>
        <w:t xml:space="preserve">. Unlike BPCG models, however, New-Developmentalism had a clear and measurable (See </w:t>
      </w:r>
      <w:proofErr w:type="spellStart"/>
      <w:r w:rsidRPr="00387F4E">
        <w:rPr>
          <w:rFonts w:eastAsia="Times New Roman"/>
          <w:color w:val="333333"/>
          <w:sz w:val="24"/>
          <w:lang w:val="en-US" w:eastAsia="pt-BR"/>
        </w:rPr>
        <w:t>Oreiro</w:t>
      </w:r>
      <w:proofErr w:type="spellEnd"/>
      <w:r w:rsidRPr="00387F4E">
        <w:rPr>
          <w:rFonts w:eastAsia="Times New Roman"/>
          <w:color w:val="333333"/>
          <w:sz w:val="24"/>
          <w:lang w:val="en-US" w:eastAsia="pt-BR"/>
        </w:rPr>
        <w:t xml:space="preserve">, </w:t>
      </w:r>
      <w:proofErr w:type="spellStart"/>
      <w:r w:rsidRPr="00387F4E">
        <w:rPr>
          <w:rFonts w:eastAsia="Times New Roman"/>
          <w:color w:val="333333"/>
          <w:sz w:val="24"/>
          <w:lang w:val="en-US" w:eastAsia="pt-BR"/>
        </w:rPr>
        <w:t>D´Agostini</w:t>
      </w:r>
      <w:proofErr w:type="spellEnd"/>
      <w:r w:rsidRPr="00387F4E">
        <w:rPr>
          <w:rFonts w:eastAsia="Times New Roman"/>
          <w:color w:val="333333"/>
          <w:sz w:val="24"/>
          <w:lang w:val="en-US" w:eastAsia="pt-BR"/>
        </w:rPr>
        <w:t xml:space="preserve"> and Gala, 2020) concept of equilibrium real exchange rate. Moreover, </w:t>
      </w:r>
      <w:r w:rsidRPr="00387F4E">
        <w:rPr>
          <w:rFonts w:eastAsia="Times New Roman"/>
          <w:b/>
          <w:bCs/>
          <w:color w:val="333333"/>
          <w:sz w:val="24"/>
          <w:bdr w:val="none" w:sz="0" w:space="0" w:color="auto" w:frame="1"/>
          <w:lang w:val="en-US" w:eastAsia="pt-BR"/>
        </w:rPr>
        <w:t>New-Developmentalism set the real exchange rate at the center of the theory of economic development, since set the real exchange rate at the “right level” is fundamental for a sustainable path of economic growth</w:t>
      </w:r>
      <w:r w:rsidRPr="00387F4E">
        <w:rPr>
          <w:rFonts w:eastAsia="Times New Roman"/>
          <w:color w:val="333333"/>
          <w:sz w:val="24"/>
          <w:lang w:val="en-US" w:eastAsia="pt-BR"/>
        </w:rPr>
        <w:t xml:space="preserve">. Real exchange rate overvaluation due to </w:t>
      </w:r>
      <w:r w:rsidRPr="00387F4E">
        <w:rPr>
          <w:rFonts w:eastAsia="Times New Roman"/>
          <w:color w:val="333333"/>
          <w:sz w:val="24"/>
          <w:lang w:val="en-US" w:eastAsia="pt-BR"/>
        </w:rPr>
        <w:t>Dutch</w:t>
      </w:r>
      <w:r w:rsidRPr="00387F4E">
        <w:rPr>
          <w:rFonts w:eastAsia="Times New Roman"/>
          <w:color w:val="333333"/>
          <w:sz w:val="24"/>
          <w:lang w:val="en-US" w:eastAsia="pt-BR"/>
        </w:rPr>
        <w:t xml:space="preserve"> disease and/or foreign capital inflows will result in premature deindustrialization and slowdown in the rate of output growth, thereby reducing the growth rate of productivity and real wages in the long-term. </w:t>
      </w:r>
    </w:p>
    <w:p w14:paraId="5A67DAAD" w14:textId="77777777" w:rsidR="00387F4E" w:rsidRPr="00387F4E" w:rsidRDefault="00387F4E" w:rsidP="00387F4E">
      <w:pPr>
        <w:spacing w:before="120"/>
        <w:textAlignment w:val="baseline"/>
        <w:rPr>
          <w:rFonts w:eastAsia="Times New Roman"/>
          <w:color w:val="333333"/>
          <w:sz w:val="24"/>
          <w:lang w:eastAsia="pt-BR"/>
        </w:rPr>
      </w:pPr>
      <w:proofErr w:type="spellStart"/>
      <w:r w:rsidRPr="00387F4E">
        <w:rPr>
          <w:rFonts w:eastAsia="Times New Roman"/>
          <w:color w:val="333333"/>
          <w:sz w:val="24"/>
          <w:lang w:eastAsia="pt-BR"/>
        </w:rPr>
        <w:lastRenderedPageBreak/>
        <w:t>References</w:t>
      </w:r>
      <w:proofErr w:type="spellEnd"/>
    </w:p>
    <w:p w14:paraId="5D3D13BC" w14:textId="77777777" w:rsidR="00387F4E" w:rsidRPr="00387F4E" w:rsidRDefault="00387F4E" w:rsidP="00387F4E">
      <w:pPr>
        <w:spacing w:before="120"/>
        <w:textAlignment w:val="baseline"/>
        <w:rPr>
          <w:rFonts w:eastAsia="Times New Roman"/>
          <w:color w:val="333333"/>
          <w:sz w:val="24"/>
          <w:lang w:eastAsia="pt-BR"/>
        </w:rPr>
      </w:pPr>
      <w:r w:rsidRPr="00387F4E">
        <w:rPr>
          <w:rFonts w:eastAsia="Times New Roman"/>
          <w:color w:val="333333"/>
          <w:sz w:val="24"/>
          <w:lang w:eastAsia="pt-BR"/>
        </w:rPr>
        <w:t>Bresser-Pereira, L.C. (2006). “O Novo-Desenvolvimentismo e a Ortodoxia Convencional”. </w:t>
      </w:r>
      <w:r w:rsidRPr="00387F4E">
        <w:rPr>
          <w:rFonts w:eastAsia="Times New Roman"/>
          <w:i/>
          <w:iCs/>
          <w:color w:val="333333"/>
          <w:sz w:val="24"/>
          <w:bdr w:val="none" w:sz="0" w:space="0" w:color="auto" w:frame="1"/>
          <w:lang w:eastAsia="pt-BR"/>
        </w:rPr>
        <w:t>São Paulo em Perspectiva</w:t>
      </w:r>
      <w:r w:rsidRPr="00387F4E">
        <w:rPr>
          <w:rFonts w:eastAsia="Times New Roman"/>
          <w:color w:val="333333"/>
          <w:sz w:val="24"/>
          <w:lang w:eastAsia="pt-BR"/>
        </w:rPr>
        <w:t>, v. 20, n. 3, p. 5-24, jul./set.</w:t>
      </w:r>
    </w:p>
    <w:p w14:paraId="0B2AFAED" w14:textId="6E294BE2"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eastAsia="pt-BR"/>
        </w:rPr>
        <w:t>BRESSER-PEREIRA, L.C; OREIRO, J.L; MARCONI, N.</w:t>
      </w:r>
      <w:r w:rsidR="00125AA8">
        <w:rPr>
          <w:rFonts w:eastAsia="Times New Roman"/>
          <w:color w:val="333333"/>
          <w:sz w:val="24"/>
          <w:lang w:eastAsia="pt-BR"/>
        </w:rPr>
        <w:t xml:space="preserve"> </w:t>
      </w:r>
      <w:r w:rsidRPr="00387F4E">
        <w:rPr>
          <w:rFonts w:eastAsia="Times New Roman"/>
          <w:color w:val="333333"/>
          <w:sz w:val="24"/>
          <w:lang w:eastAsia="pt-BR"/>
        </w:rPr>
        <w:t>(2015). </w:t>
      </w:r>
      <w:r w:rsidRPr="00387F4E">
        <w:rPr>
          <w:rFonts w:eastAsia="Times New Roman"/>
          <w:i/>
          <w:iCs/>
          <w:color w:val="333333"/>
          <w:sz w:val="24"/>
          <w:bdr w:val="none" w:sz="0" w:space="0" w:color="auto" w:frame="1"/>
          <w:lang w:val="en-US" w:eastAsia="pt-BR"/>
        </w:rPr>
        <w:t>Developmental Macroeconomics: new developmentalism as a growth strategy</w:t>
      </w:r>
      <w:r w:rsidRPr="00387F4E">
        <w:rPr>
          <w:rFonts w:eastAsia="Times New Roman"/>
          <w:color w:val="333333"/>
          <w:sz w:val="24"/>
          <w:lang w:val="en-US" w:eastAsia="pt-BR"/>
        </w:rPr>
        <w:t>. Routledge: London.</w:t>
      </w:r>
    </w:p>
    <w:p w14:paraId="0AE91198" w14:textId="5E799B1E"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Dixon, R</w:t>
      </w:r>
      <w:r w:rsidR="00125AA8">
        <w:rPr>
          <w:rFonts w:eastAsia="Times New Roman"/>
          <w:color w:val="333333"/>
          <w:sz w:val="24"/>
          <w:lang w:val="en-US" w:eastAsia="pt-BR"/>
        </w:rPr>
        <w:t>.</w:t>
      </w:r>
      <w:r w:rsidRPr="00387F4E">
        <w:rPr>
          <w:rFonts w:eastAsia="Times New Roman"/>
          <w:color w:val="333333"/>
          <w:sz w:val="24"/>
          <w:lang w:val="en-US" w:eastAsia="pt-BR"/>
        </w:rPr>
        <w:t xml:space="preserve">J; </w:t>
      </w:r>
      <w:proofErr w:type="spellStart"/>
      <w:r w:rsidRPr="00387F4E">
        <w:rPr>
          <w:rFonts w:eastAsia="Times New Roman"/>
          <w:color w:val="333333"/>
          <w:sz w:val="24"/>
          <w:lang w:val="en-US" w:eastAsia="pt-BR"/>
        </w:rPr>
        <w:t>Thirwall</w:t>
      </w:r>
      <w:proofErr w:type="spellEnd"/>
      <w:r w:rsidRPr="00387F4E">
        <w:rPr>
          <w:rFonts w:eastAsia="Times New Roman"/>
          <w:color w:val="333333"/>
          <w:sz w:val="24"/>
          <w:lang w:val="en-US" w:eastAsia="pt-BR"/>
        </w:rPr>
        <w:t xml:space="preserve">, A.P. (1975). “A Model of Regional Growth Rate Differences on </w:t>
      </w:r>
      <w:proofErr w:type="spellStart"/>
      <w:r w:rsidRPr="00387F4E">
        <w:rPr>
          <w:rFonts w:eastAsia="Times New Roman"/>
          <w:color w:val="333333"/>
          <w:sz w:val="24"/>
          <w:lang w:val="en-US" w:eastAsia="pt-BR"/>
        </w:rPr>
        <w:t>Kaldorian</w:t>
      </w:r>
      <w:proofErr w:type="spellEnd"/>
      <w:r w:rsidRPr="00387F4E">
        <w:rPr>
          <w:rFonts w:eastAsia="Times New Roman"/>
          <w:color w:val="333333"/>
          <w:sz w:val="24"/>
          <w:lang w:val="en-US" w:eastAsia="pt-BR"/>
        </w:rPr>
        <w:t xml:space="preserve"> Lines”. </w:t>
      </w:r>
      <w:r w:rsidRPr="00387F4E">
        <w:rPr>
          <w:rFonts w:eastAsia="Times New Roman"/>
          <w:i/>
          <w:iCs/>
          <w:color w:val="333333"/>
          <w:sz w:val="24"/>
          <w:bdr w:val="none" w:sz="0" w:space="0" w:color="auto" w:frame="1"/>
          <w:lang w:val="en-US" w:eastAsia="pt-BR"/>
        </w:rPr>
        <w:t>Oxford Economic Papers</w:t>
      </w:r>
      <w:r w:rsidRPr="00387F4E">
        <w:rPr>
          <w:rFonts w:eastAsia="Times New Roman"/>
          <w:color w:val="333333"/>
          <w:sz w:val="24"/>
          <w:lang w:val="en-US" w:eastAsia="pt-BR"/>
        </w:rPr>
        <w:t>, </w:t>
      </w:r>
      <w:r w:rsidRPr="00387F4E">
        <w:rPr>
          <w:rFonts w:eastAsia="Times New Roman"/>
          <w:color w:val="333333"/>
          <w:sz w:val="24"/>
          <w:bdr w:val="none" w:sz="0" w:space="0" w:color="auto" w:frame="1"/>
          <w:lang w:val="en-US" w:eastAsia="pt-BR"/>
        </w:rPr>
        <w:t>Vol.27</w:t>
      </w:r>
      <w:r w:rsidRPr="00387F4E">
        <w:rPr>
          <w:rFonts w:eastAsia="Times New Roman"/>
          <w:color w:val="333333"/>
          <w:sz w:val="24"/>
          <w:lang w:val="en-US" w:eastAsia="pt-BR"/>
        </w:rPr>
        <w:t>, n.2, pp. 201-214. </w:t>
      </w:r>
    </w:p>
    <w:p w14:paraId="2A54B03D" w14:textId="77777777"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KALDOR, N. (1967). </w:t>
      </w:r>
      <w:r w:rsidRPr="00387F4E">
        <w:rPr>
          <w:rFonts w:eastAsia="Times New Roman"/>
          <w:i/>
          <w:iCs/>
          <w:color w:val="333333"/>
          <w:sz w:val="24"/>
          <w:bdr w:val="none" w:sz="0" w:space="0" w:color="auto" w:frame="1"/>
          <w:lang w:val="en-US" w:eastAsia="pt-BR"/>
        </w:rPr>
        <w:t>Strategic Factors in Economic Development</w:t>
      </w:r>
      <w:r w:rsidRPr="00387F4E">
        <w:rPr>
          <w:rFonts w:eastAsia="Times New Roman"/>
          <w:color w:val="333333"/>
          <w:sz w:val="24"/>
          <w:lang w:val="en-US" w:eastAsia="pt-BR"/>
        </w:rPr>
        <w:t>. Ithaca: New York State School of Industrial and Labor Relations, Cornell University.</w:t>
      </w:r>
    </w:p>
    <w:p w14:paraId="0DF9DA99" w14:textId="77777777" w:rsidR="00387F4E" w:rsidRPr="00387F4E" w:rsidRDefault="00387F4E" w:rsidP="00387F4E">
      <w:pPr>
        <w:spacing w:before="120"/>
        <w:textAlignment w:val="baseline"/>
        <w:rPr>
          <w:rFonts w:eastAsia="Times New Roman"/>
          <w:color w:val="333333"/>
          <w:sz w:val="24"/>
          <w:lang w:val="en-US" w:eastAsia="pt-BR"/>
        </w:rPr>
      </w:pPr>
      <w:proofErr w:type="spellStart"/>
      <w:r w:rsidRPr="00387F4E">
        <w:rPr>
          <w:rFonts w:eastAsia="Times New Roman"/>
          <w:color w:val="333333"/>
          <w:sz w:val="24"/>
          <w:lang w:val="en-US" w:eastAsia="pt-BR"/>
        </w:rPr>
        <w:t>Oreiro</w:t>
      </w:r>
      <w:proofErr w:type="spellEnd"/>
      <w:r w:rsidRPr="00387F4E">
        <w:rPr>
          <w:rFonts w:eastAsia="Times New Roman"/>
          <w:color w:val="333333"/>
          <w:sz w:val="24"/>
          <w:lang w:val="en-US" w:eastAsia="pt-BR"/>
        </w:rPr>
        <w:t>, J.L. (2020). “New Developmentalism: beyond competitive exchange rate”. </w:t>
      </w:r>
      <w:r w:rsidRPr="00387F4E">
        <w:rPr>
          <w:rFonts w:eastAsia="Times New Roman"/>
          <w:i/>
          <w:iCs/>
          <w:color w:val="333333"/>
          <w:sz w:val="24"/>
          <w:bdr w:val="none" w:sz="0" w:space="0" w:color="auto" w:frame="1"/>
          <w:lang w:val="en-US" w:eastAsia="pt-BR"/>
        </w:rPr>
        <w:t>Brazilian Journal of Political Economy</w:t>
      </w:r>
      <w:r w:rsidRPr="00387F4E">
        <w:rPr>
          <w:rFonts w:eastAsia="Times New Roman"/>
          <w:color w:val="333333"/>
          <w:sz w:val="24"/>
          <w:lang w:val="en-US" w:eastAsia="pt-BR"/>
        </w:rPr>
        <w:t>, vol. 40, nº 2, pp. 238-242.</w:t>
      </w:r>
    </w:p>
    <w:p w14:paraId="4543C92B" w14:textId="199737FE" w:rsidR="00387F4E" w:rsidRPr="00387F4E" w:rsidRDefault="00387F4E" w:rsidP="00387F4E">
      <w:pPr>
        <w:spacing w:before="120"/>
        <w:textAlignment w:val="baseline"/>
        <w:rPr>
          <w:rFonts w:eastAsia="Times New Roman"/>
          <w:color w:val="333333"/>
          <w:sz w:val="24"/>
          <w:lang w:val="en-US" w:eastAsia="pt-BR"/>
        </w:rPr>
      </w:pPr>
      <w:proofErr w:type="spellStart"/>
      <w:r w:rsidRPr="00387F4E">
        <w:rPr>
          <w:rFonts w:eastAsia="Times New Roman"/>
          <w:color w:val="333333"/>
          <w:sz w:val="24"/>
          <w:lang w:val="en-US" w:eastAsia="pt-BR"/>
        </w:rPr>
        <w:t>Oreiro</w:t>
      </w:r>
      <w:proofErr w:type="spellEnd"/>
      <w:r w:rsidRPr="00387F4E">
        <w:rPr>
          <w:rFonts w:eastAsia="Times New Roman"/>
          <w:color w:val="333333"/>
          <w:sz w:val="24"/>
          <w:lang w:val="en-US" w:eastAsia="pt-BR"/>
        </w:rPr>
        <w:t xml:space="preserve"> J.L., </w:t>
      </w:r>
      <w:proofErr w:type="spellStart"/>
      <w:r w:rsidRPr="00387F4E">
        <w:rPr>
          <w:rFonts w:eastAsia="Times New Roman"/>
          <w:color w:val="333333"/>
          <w:sz w:val="24"/>
          <w:lang w:val="en-US" w:eastAsia="pt-BR"/>
        </w:rPr>
        <w:t>Manarin</w:t>
      </w:r>
      <w:proofErr w:type="spellEnd"/>
      <w:r w:rsidRPr="00387F4E">
        <w:rPr>
          <w:rFonts w:eastAsia="Times New Roman"/>
          <w:color w:val="333333"/>
          <w:sz w:val="24"/>
          <w:lang w:val="en-US" w:eastAsia="pt-BR"/>
        </w:rPr>
        <w:t xml:space="preserve"> </w:t>
      </w:r>
      <w:proofErr w:type="spellStart"/>
      <w:r w:rsidRPr="00387F4E">
        <w:rPr>
          <w:rFonts w:eastAsia="Times New Roman"/>
          <w:color w:val="333333"/>
          <w:sz w:val="24"/>
          <w:lang w:val="en-US" w:eastAsia="pt-BR"/>
        </w:rPr>
        <w:t>D’Agostini</w:t>
      </w:r>
      <w:proofErr w:type="spellEnd"/>
      <w:r w:rsidRPr="00387F4E">
        <w:rPr>
          <w:rFonts w:eastAsia="Times New Roman"/>
          <w:color w:val="333333"/>
          <w:sz w:val="24"/>
          <w:lang w:val="en-US" w:eastAsia="pt-BR"/>
        </w:rPr>
        <w:t xml:space="preserve"> L.L., Gala P. (2020).</w:t>
      </w:r>
      <w:r w:rsidR="00125AA8">
        <w:rPr>
          <w:rFonts w:eastAsia="Times New Roman"/>
          <w:color w:val="333333"/>
          <w:sz w:val="24"/>
          <w:lang w:val="en-US" w:eastAsia="pt-BR"/>
        </w:rPr>
        <w:t xml:space="preserve"> “</w:t>
      </w:r>
      <w:r w:rsidRPr="00387F4E">
        <w:rPr>
          <w:rFonts w:eastAsia="Times New Roman"/>
          <w:color w:val="333333"/>
          <w:sz w:val="24"/>
          <w:lang w:val="en-US" w:eastAsia="pt-BR"/>
        </w:rPr>
        <w:t>Deindustrialization, economic complexity and exchange rate overvaluation: the case of Brazil (1998-2017)”, </w:t>
      </w:r>
      <w:r w:rsidRPr="00387F4E">
        <w:rPr>
          <w:rFonts w:eastAsia="Times New Roman"/>
          <w:i/>
          <w:iCs/>
          <w:color w:val="333333"/>
          <w:sz w:val="24"/>
          <w:bdr w:val="none" w:sz="0" w:space="0" w:color="auto" w:frame="1"/>
          <w:lang w:val="en-US" w:eastAsia="pt-BR"/>
        </w:rPr>
        <w:t>PSL Quarterly Review</w:t>
      </w:r>
      <w:r w:rsidRPr="00387F4E">
        <w:rPr>
          <w:rFonts w:eastAsia="Times New Roman"/>
          <w:color w:val="333333"/>
          <w:sz w:val="24"/>
          <w:lang w:val="en-US" w:eastAsia="pt-BR"/>
        </w:rPr>
        <w:t>, 73 (295):313- 341.</w:t>
      </w:r>
    </w:p>
    <w:p w14:paraId="54894931" w14:textId="55513C9E" w:rsidR="00387F4E" w:rsidRPr="00387F4E" w:rsidRDefault="00387F4E" w:rsidP="00387F4E">
      <w:pPr>
        <w:spacing w:before="120"/>
        <w:textAlignment w:val="baseline"/>
        <w:rPr>
          <w:rFonts w:eastAsia="Times New Roman"/>
          <w:color w:val="333333"/>
          <w:sz w:val="24"/>
          <w:lang w:val="en-US" w:eastAsia="pt-BR"/>
        </w:rPr>
      </w:pPr>
      <w:r w:rsidRPr="00387F4E">
        <w:rPr>
          <w:rFonts w:eastAsia="Times New Roman"/>
          <w:color w:val="333333"/>
          <w:sz w:val="24"/>
          <w:lang w:val="en-US" w:eastAsia="pt-BR"/>
        </w:rPr>
        <w:t xml:space="preserve">THIRWALL, A. P. (1979). “The Balance of Payments Constraint as </w:t>
      </w:r>
      <w:r w:rsidR="00125AA8" w:rsidRPr="00387F4E">
        <w:rPr>
          <w:rFonts w:eastAsia="Times New Roman"/>
          <w:color w:val="333333"/>
          <w:sz w:val="24"/>
          <w:lang w:val="en-US" w:eastAsia="pt-BR"/>
        </w:rPr>
        <w:t>an</w:t>
      </w:r>
      <w:r w:rsidRPr="00387F4E">
        <w:rPr>
          <w:rFonts w:eastAsia="Times New Roman"/>
          <w:color w:val="333333"/>
          <w:sz w:val="24"/>
          <w:lang w:val="en-US" w:eastAsia="pt-BR"/>
        </w:rPr>
        <w:t xml:space="preserve"> explanation of international growth rate differences”. </w:t>
      </w:r>
      <w:r w:rsidRPr="00387F4E">
        <w:rPr>
          <w:rFonts w:eastAsia="Times New Roman"/>
          <w:i/>
          <w:iCs/>
          <w:color w:val="333333"/>
          <w:sz w:val="24"/>
          <w:bdr w:val="none" w:sz="0" w:space="0" w:color="auto" w:frame="1"/>
          <w:lang w:val="en-US" w:eastAsia="pt-BR"/>
        </w:rPr>
        <w:t xml:space="preserve">Banca Nazionale Del </w:t>
      </w:r>
      <w:proofErr w:type="spellStart"/>
      <w:r w:rsidRPr="00387F4E">
        <w:rPr>
          <w:rFonts w:eastAsia="Times New Roman"/>
          <w:i/>
          <w:iCs/>
          <w:color w:val="333333"/>
          <w:sz w:val="24"/>
          <w:bdr w:val="none" w:sz="0" w:space="0" w:color="auto" w:frame="1"/>
          <w:lang w:val="en-US" w:eastAsia="pt-BR"/>
        </w:rPr>
        <w:t>Lavoro</w:t>
      </w:r>
      <w:proofErr w:type="spellEnd"/>
      <w:r w:rsidRPr="00387F4E">
        <w:rPr>
          <w:rFonts w:eastAsia="Times New Roman"/>
          <w:i/>
          <w:iCs/>
          <w:color w:val="333333"/>
          <w:sz w:val="24"/>
          <w:bdr w:val="none" w:sz="0" w:space="0" w:color="auto" w:frame="1"/>
          <w:lang w:val="en-US" w:eastAsia="pt-BR"/>
        </w:rPr>
        <w:t xml:space="preserve"> Quarterly Review</w:t>
      </w:r>
      <w:r w:rsidRPr="00387F4E">
        <w:rPr>
          <w:rFonts w:eastAsia="Times New Roman"/>
          <w:color w:val="333333"/>
          <w:sz w:val="24"/>
          <w:lang w:val="en-US" w:eastAsia="pt-BR"/>
        </w:rPr>
        <w:t>, 128, pp. 45-53.</w:t>
      </w:r>
    </w:p>
    <w:p w14:paraId="31C9BD16" w14:textId="77777777" w:rsidR="00387F4E" w:rsidRPr="00387F4E" w:rsidRDefault="00387F4E" w:rsidP="00387F4E">
      <w:pPr>
        <w:spacing w:before="120"/>
        <w:textAlignment w:val="baseline"/>
        <w:rPr>
          <w:rFonts w:eastAsia="Times New Roman"/>
          <w:color w:val="333333"/>
          <w:sz w:val="24"/>
          <w:lang w:eastAsia="pt-BR"/>
        </w:rPr>
      </w:pPr>
      <w:proofErr w:type="spellStart"/>
      <w:r w:rsidRPr="00387F4E">
        <w:rPr>
          <w:rFonts w:eastAsia="Times New Roman"/>
          <w:color w:val="333333"/>
          <w:sz w:val="24"/>
          <w:lang w:val="en-US" w:eastAsia="pt-BR"/>
        </w:rPr>
        <w:t>Thirwall</w:t>
      </w:r>
      <w:proofErr w:type="spellEnd"/>
      <w:r w:rsidRPr="00387F4E">
        <w:rPr>
          <w:rFonts w:eastAsia="Times New Roman"/>
          <w:color w:val="333333"/>
          <w:sz w:val="24"/>
          <w:lang w:val="en-US" w:eastAsia="pt-BR"/>
        </w:rPr>
        <w:t>, A.P; Dixon, R.J. (1979). “A Model of Export-Led Growth with a Balance of Payments Constraint” In: Bowers, J.K. (ed.). </w:t>
      </w:r>
      <w:r w:rsidRPr="00387F4E">
        <w:rPr>
          <w:rFonts w:eastAsia="Times New Roman"/>
          <w:i/>
          <w:iCs/>
          <w:color w:val="333333"/>
          <w:sz w:val="24"/>
          <w:bdr w:val="none" w:sz="0" w:space="0" w:color="auto" w:frame="1"/>
          <w:lang w:val="en-US" w:eastAsia="pt-BR"/>
        </w:rPr>
        <w:t xml:space="preserve">Inflation, </w:t>
      </w:r>
      <w:proofErr w:type="gramStart"/>
      <w:r w:rsidRPr="00387F4E">
        <w:rPr>
          <w:rFonts w:eastAsia="Times New Roman"/>
          <w:i/>
          <w:iCs/>
          <w:color w:val="333333"/>
          <w:sz w:val="24"/>
          <w:bdr w:val="none" w:sz="0" w:space="0" w:color="auto" w:frame="1"/>
          <w:lang w:val="en-US" w:eastAsia="pt-BR"/>
        </w:rPr>
        <w:t>Development</w:t>
      </w:r>
      <w:proofErr w:type="gramEnd"/>
      <w:r w:rsidRPr="00387F4E">
        <w:rPr>
          <w:rFonts w:eastAsia="Times New Roman"/>
          <w:i/>
          <w:iCs/>
          <w:color w:val="333333"/>
          <w:sz w:val="24"/>
          <w:bdr w:val="none" w:sz="0" w:space="0" w:color="auto" w:frame="1"/>
          <w:lang w:val="en-US" w:eastAsia="pt-BR"/>
        </w:rPr>
        <w:t xml:space="preserve"> and Integration: essays in </w:t>
      </w:r>
      <w:proofErr w:type="spellStart"/>
      <w:r w:rsidRPr="00387F4E">
        <w:rPr>
          <w:rFonts w:eastAsia="Times New Roman"/>
          <w:i/>
          <w:iCs/>
          <w:color w:val="333333"/>
          <w:sz w:val="24"/>
          <w:bdr w:val="none" w:sz="0" w:space="0" w:color="auto" w:frame="1"/>
          <w:lang w:val="en-US" w:eastAsia="pt-BR"/>
        </w:rPr>
        <w:t>honour</w:t>
      </w:r>
      <w:proofErr w:type="spellEnd"/>
      <w:r w:rsidRPr="00387F4E">
        <w:rPr>
          <w:rFonts w:eastAsia="Times New Roman"/>
          <w:i/>
          <w:iCs/>
          <w:color w:val="333333"/>
          <w:sz w:val="24"/>
          <w:bdr w:val="none" w:sz="0" w:space="0" w:color="auto" w:frame="1"/>
          <w:lang w:val="en-US" w:eastAsia="pt-BR"/>
        </w:rPr>
        <w:t xml:space="preserve"> of A.J. Brown</w:t>
      </w:r>
      <w:r w:rsidRPr="00387F4E">
        <w:rPr>
          <w:rFonts w:eastAsia="Times New Roman"/>
          <w:color w:val="333333"/>
          <w:sz w:val="24"/>
          <w:lang w:val="en-US" w:eastAsia="pt-BR"/>
        </w:rPr>
        <w:t xml:space="preserve">. </w:t>
      </w:r>
      <w:r w:rsidRPr="00387F4E">
        <w:rPr>
          <w:rFonts w:eastAsia="Times New Roman"/>
          <w:color w:val="333333"/>
          <w:sz w:val="24"/>
          <w:lang w:eastAsia="pt-BR"/>
        </w:rPr>
        <w:t xml:space="preserve">Leeds </w:t>
      </w:r>
      <w:proofErr w:type="spellStart"/>
      <w:r w:rsidRPr="00387F4E">
        <w:rPr>
          <w:rFonts w:eastAsia="Times New Roman"/>
          <w:color w:val="333333"/>
          <w:sz w:val="24"/>
          <w:lang w:eastAsia="pt-BR"/>
        </w:rPr>
        <w:t>University</w:t>
      </w:r>
      <w:proofErr w:type="spellEnd"/>
      <w:r w:rsidRPr="00387F4E">
        <w:rPr>
          <w:rFonts w:eastAsia="Times New Roman"/>
          <w:color w:val="333333"/>
          <w:sz w:val="24"/>
          <w:lang w:eastAsia="pt-BR"/>
        </w:rPr>
        <w:t xml:space="preserve"> Press: Leeds. </w:t>
      </w:r>
    </w:p>
    <w:sectPr w:rsidR="00387F4E" w:rsidRPr="00387F4E" w:rsidSect="0006475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o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4E"/>
    <w:rsid w:val="00064754"/>
    <w:rsid w:val="00125AA8"/>
    <w:rsid w:val="001E4B5A"/>
    <w:rsid w:val="00387F4E"/>
    <w:rsid w:val="003E1889"/>
    <w:rsid w:val="004047AE"/>
    <w:rsid w:val="0042597F"/>
    <w:rsid w:val="005867C0"/>
    <w:rsid w:val="005903F9"/>
    <w:rsid w:val="005C76F0"/>
    <w:rsid w:val="008009BC"/>
    <w:rsid w:val="008023BC"/>
    <w:rsid w:val="0084390C"/>
    <w:rsid w:val="00854E0A"/>
    <w:rsid w:val="008B6EFA"/>
    <w:rsid w:val="00A200DE"/>
    <w:rsid w:val="00A65362"/>
    <w:rsid w:val="00A87F55"/>
    <w:rsid w:val="00B44F09"/>
    <w:rsid w:val="00C24878"/>
    <w:rsid w:val="00C62B51"/>
    <w:rsid w:val="00D55F03"/>
    <w:rsid w:val="00DD320D"/>
    <w:rsid w:val="00E21D58"/>
    <w:rsid w:val="00E726D5"/>
    <w:rsid w:val="00EC0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2CF8CAA"/>
  <w15:chartTrackingRefBased/>
  <w15:docId w15:val="{3C3BAC19-1B7B-4348-8512-A2C34A58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878"/>
    <w:rPr>
      <w:rFonts w:ascii="Times New Roman" w:hAnsi="Times New Roman" w:cs="Times New Roman"/>
      <w:color w:val="000000"/>
      <w:sz w:val="28"/>
    </w:rPr>
  </w:style>
  <w:style w:type="paragraph" w:styleId="Ttulo1">
    <w:name w:val="heading 1"/>
    <w:basedOn w:val="Normal"/>
    <w:next w:val="Normal"/>
    <w:link w:val="Ttulo1Char"/>
    <w:uiPriority w:val="9"/>
    <w:qFormat/>
    <w:rsid w:val="00C248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uiPriority w:val="9"/>
    <w:semiHidden/>
    <w:unhideWhenUsed/>
    <w:qFormat/>
    <w:rsid w:val="00C24878"/>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C24878"/>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P-Antiga-titulooriginal">
    <w:name w:val="REP-Antiga-titulo original"/>
    <w:basedOn w:val="Normal"/>
    <w:qFormat/>
    <w:rsid w:val="001E4B5A"/>
    <w:pPr>
      <w:widowControl w:val="0"/>
      <w:autoSpaceDE w:val="0"/>
      <w:autoSpaceDN w:val="0"/>
      <w:adjustRightInd w:val="0"/>
      <w:jc w:val="center"/>
    </w:pPr>
    <w:rPr>
      <w:rFonts w:eastAsia="Times New Roman"/>
      <w:bCs/>
      <w:sz w:val="32"/>
      <w:szCs w:val="22"/>
      <w:lang w:eastAsia="pt-BR"/>
    </w:rPr>
  </w:style>
  <w:style w:type="paragraph" w:styleId="Textodenotadefim">
    <w:name w:val="endnote text"/>
    <w:basedOn w:val="Normal"/>
    <w:link w:val="TextodenotadefimChar"/>
    <w:uiPriority w:val="99"/>
    <w:qFormat/>
    <w:rsid w:val="005867C0"/>
    <w:pPr>
      <w:spacing w:before="120"/>
      <w:jc w:val="both"/>
    </w:pPr>
    <w:rPr>
      <w:sz w:val="22"/>
      <w:lang w:val="en-GB"/>
    </w:rPr>
  </w:style>
  <w:style w:type="character" w:customStyle="1" w:styleId="TextodenotadefimChar">
    <w:name w:val="Texto de nota de fim Char"/>
    <w:basedOn w:val="Fontepargpadro"/>
    <w:link w:val="Textodenotadefim"/>
    <w:uiPriority w:val="99"/>
    <w:rsid w:val="005867C0"/>
    <w:rPr>
      <w:rFonts w:ascii="Times New Roman" w:hAnsi="Times New Roman"/>
      <w:sz w:val="22"/>
      <w:lang w:val="en-GB"/>
    </w:rPr>
  </w:style>
  <w:style w:type="paragraph" w:customStyle="1" w:styleId="Autor-REP">
    <w:name w:val="Autor-REP"/>
    <w:basedOn w:val="Normal"/>
    <w:autoRedefine/>
    <w:qFormat/>
    <w:rsid w:val="00C24878"/>
    <w:pPr>
      <w:pBdr>
        <w:top w:val="nil"/>
        <w:left w:val="nil"/>
        <w:bottom w:val="nil"/>
        <w:right w:val="nil"/>
        <w:between w:val="nil"/>
      </w:pBdr>
      <w:suppressAutoHyphens/>
      <w:spacing w:before="480" w:after="480"/>
      <w:jc w:val="right"/>
    </w:pPr>
    <w:rPr>
      <w:rFonts w:eastAsiaTheme="minorEastAsia" w:cstheme="minorBidi"/>
      <w:b/>
      <w:caps/>
      <w:color w:val="auto"/>
      <w:kern w:val="22"/>
      <w:sz w:val="18"/>
      <w:szCs w:val="22"/>
      <w:lang w:val="en-GB" w:eastAsia="ja-JP"/>
    </w:rPr>
  </w:style>
  <w:style w:type="paragraph" w:styleId="Citao">
    <w:name w:val="Quote"/>
    <w:basedOn w:val="Normal"/>
    <w:next w:val="Normal"/>
    <w:link w:val="CitaoChar"/>
    <w:uiPriority w:val="29"/>
    <w:qFormat/>
    <w:rsid w:val="00C2487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C24878"/>
    <w:rPr>
      <w:rFonts w:ascii="Times New Roman" w:hAnsi="Times New Roman" w:cs="Times New Roman"/>
      <w:i/>
      <w:iCs/>
      <w:color w:val="404040" w:themeColor="text1" w:themeTint="BF"/>
      <w:sz w:val="28"/>
    </w:rPr>
  </w:style>
  <w:style w:type="paragraph" w:customStyle="1" w:styleId="Citao-REP">
    <w:name w:val="Citação-REP"/>
    <w:basedOn w:val="Citao"/>
    <w:autoRedefine/>
    <w:qFormat/>
    <w:rsid w:val="00A200DE"/>
    <w:pPr>
      <w:spacing w:before="120" w:after="120"/>
      <w:ind w:left="284" w:right="284"/>
      <w:jc w:val="both"/>
    </w:pPr>
    <w:rPr>
      <w:rFonts w:eastAsiaTheme="minorEastAsia" w:cs="Times New Roman (Corpo CS)"/>
      <w:i w:val="0"/>
      <w:iCs w:val="0"/>
      <w:color w:val="auto"/>
      <w:sz w:val="22"/>
      <w:szCs w:val="22"/>
      <w:lang w:eastAsia="ja-JP"/>
    </w:rPr>
  </w:style>
  <w:style w:type="paragraph" w:customStyle="1" w:styleId="referencia-REP">
    <w:name w:val="referencia-REP"/>
    <w:basedOn w:val="Normal"/>
    <w:autoRedefine/>
    <w:qFormat/>
    <w:rsid w:val="00C24878"/>
    <w:pPr>
      <w:widowControl w:val="0"/>
      <w:pBdr>
        <w:top w:val="nil"/>
        <w:left w:val="nil"/>
        <w:bottom w:val="nil"/>
        <w:right w:val="nil"/>
        <w:between w:val="nil"/>
      </w:pBdr>
      <w:suppressAutoHyphens/>
      <w:adjustRightInd w:val="0"/>
      <w:ind w:left="284" w:hanging="284"/>
      <w:contextualSpacing/>
      <w:jc w:val="both"/>
      <w:textAlignment w:val="baseline"/>
    </w:pPr>
    <w:rPr>
      <w:rFonts w:eastAsiaTheme="minorEastAsia" w:cstheme="minorBidi"/>
      <w:color w:val="00000A"/>
      <w:sz w:val="16"/>
      <w:szCs w:val="22"/>
      <w:lang w:val="en-GB" w:eastAsia="ar-SA"/>
    </w:rPr>
  </w:style>
  <w:style w:type="paragraph" w:customStyle="1" w:styleId="Resumo-REP">
    <w:name w:val="Resumo-REP"/>
    <w:basedOn w:val="Normal"/>
    <w:autoRedefine/>
    <w:qFormat/>
    <w:rsid w:val="00C24878"/>
    <w:pPr>
      <w:widowControl w:val="0"/>
      <w:pBdr>
        <w:top w:val="single" w:sz="4" w:space="1" w:color="auto"/>
        <w:left w:val="single" w:sz="4" w:space="4" w:color="auto"/>
        <w:bottom w:val="single" w:sz="4" w:space="1" w:color="auto"/>
        <w:right w:val="single" w:sz="4" w:space="4" w:color="auto"/>
        <w:between w:val="nil"/>
      </w:pBdr>
      <w:suppressAutoHyphens/>
      <w:autoSpaceDE w:val="0"/>
      <w:autoSpaceDN w:val="0"/>
      <w:spacing w:after="480"/>
      <w:ind w:left="284" w:right="284" w:firstLine="284"/>
      <w:jc w:val="both"/>
    </w:pPr>
    <w:rPr>
      <w:rFonts w:eastAsiaTheme="minorEastAsia" w:cs="Arial"/>
      <w:color w:val="auto"/>
      <w:kern w:val="1"/>
      <w:sz w:val="18"/>
      <w:szCs w:val="22"/>
      <w:lang w:val="pt-PT" w:eastAsia="ar-SA"/>
    </w:rPr>
  </w:style>
  <w:style w:type="paragraph" w:customStyle="1" w:styleId="rodap-REP">
    <w:name w:val="rodapé-REP"/>
    <w:basedOn w:val="Normal"/>
    <w:autoRedefine/>
    <w:qFormat/>
    <w:rsid w:val="005C76F0"/>
    <w:pPr>
      <w:pBdr>
        <w:top w:val="nil"/>
        <w:left w:val="nil"/>
        <w:bottom w:val="nil"/>
        <w:right w:val="nil"/>
        <w:between w:val="nil"/>
      </w:pBdr>
      <w:jc w:val="both"/>
    </w:pPr>
    <w:rPr>
      <w:rFonts w:eastAsia="Times New Roman"/>
      <w:iCs/>
      <w:color w:val="2F2F2F"/>
      <w:w w:val="105"/>
      <w:sz w:val="16"/>
      <w:szCs w:val="20"/>
      <w:lang w:val="en-GB" w:eastAsia="es-ES"/>
    </w:rPr>
  </w:style>
  <w:style w:type="character" w:customStyle="1" w:styleId="Ttulo6Char">
    <w:name w:val="Título 6 Char"/>
    <w:basedOn w:val="Fontepargpadro"/>
    <w:link w:val="Ttulo6"/>
    <w:uiPriority w:val="9"/>
    <w:semiHidden/>
    <w:rsid w:val="00C24878"/>
    <w:rPr>
      <w:rFonts w:asciiTheme="majorHAnsi" w:eastAsiaTheme="majorEastAsia" w:hAnsiTheme="majorHAnsi" w:cstheme="majorBidi"/>
      <w:color w:val="1F3763" w:themeColor="accent1" w:themeShade="7F"/>
      <w:sz w:val="28"/>
    </w:rPr>
  </w:style>
  <w:style w:type="paragraph" w:customStyle="1" w:styleId="Seo2-REP">
    <w:name w:val="Seção 2-REP"/>
    <w:basedOn w:val="Ttulo6"/>
    <w:autoRedefine/>
    <w:qFormat/>
    <w:rsid w:val="008009BC"/>
    <w:pPr>
      <w:keepNext w:val="0"/>
      <w:keepLines w:val="0"/>
      <w:spacing w:before="120" w:after="120"/>
    </w:pPr>
    <w:rPr>
      <w:rFonts w:ascii="Times New Roman" w:eastAsia="Times New Roman" w:hAnsi="Times New Roman" w:cs="Times New Roman"/>
      <w:b/>
      <w:bCs/>
      <w:color w:val="auto"/>
      <w:sz w:val="22"/>
      <w:szCs w:val="22"/>
      <w:lang w:val="en-GB" w:eastAsia="pt-BR" w:bidi="en-US"/>
    </w:rPr>
  </w:style>
  <w:style w:type="character" w:customStyle="1" w:styleId="Ttulo4Char">
    <w:name w:val="Título 4 Char"/>
    <w:basedOn w:val="Fontepargpadro"/>
    <w:link w:val="Ttulo4"/>
    <w:uiPriority w:val="9"/>
    <w:semiHidden/>
    <w:rsid w:val="00C24878"/>
    <w:rPr>
      <w:rFonts w:asciiTheme="majorHAnsi" w:eastAsiaTheme="majorEastAsia" w:hAnsiTheme="majorHAnsi" w:cstheme="majorBidi"/>
      <w:i/>
      <w:iCs/>
      <w:color w:val="2F5496" w:themeColor="accent1" w:themeShade="BF"/>
      <w:sz w:val="28"/>
    </w:rPr>
  </w:style>
  <w:style w:type="paragraph" w:customStyle="1" w:styleId="SeoI-REP">
    <w:name w:val="Seção I-REP"/>
    <w:basedOn w:val="Ttulo4"/>
    <w:autoRedefine/>
    <w:qFormat/>
    <w:rsid w:val="00C24878"/>
    <w:pPr>
      <w:keepLines w:val="0"/>
      <w:spacing w:before="360" w:after="120"/>
    </w:pPr>
    <w:rPr>
      <w:rFonts w:ascii="Times New Roman" w:eastAsia="Calibri" w:hAnsi="Times New Roman" w:cs="Times New Roman"/>
      <w:b/>
      <w:i w:val="0"/>
      <w:iCs w:val="0"/>
      <w:caps/>
      <w:color w:val="auto"/>
      <w:sz w:val="22"/>
      <w:szCs w:val="22"/>
      <w:lang w:val="en-GB" w:eastAsia="pt-BR"/>
    </w:rPr>
  </w:style>
  <w:style w:type="paragraph" w:customStyle="1" w:styleId="Ttulo-REP">
    <w:name w:val="Título-REP"/>
    <w:basedOn w:val="Normal"/>
    <w:autoRedefine/>
    <w:qFormat/>
    <w:rsid w:val="00C24878"/>
    <w:pPr>
      <w:suppressAutoHyphens/>
      <w:spacing w:before="1320" w:after="200"/>
      <w:jc w:val="center"/>
    </w:pPr>
    <w:rPr>
      <w:rFonts w:eastAsiaTheme="minorEastAsia" w:cstheme="minorBidi"/>
      <w:b/>
      <w:color w:val="auto"/>
      <w:sz w:val="32"/>
      <w:szCs w:val="22"/>
      <w:lang w:val="en-GB" w:eastAsia="ja-JP"/>
    </w:rPr>
  </w:style>
  <w:style w:type="paragraph" w:customStyle="1" w:styleId="Sub-Ttulo">
    <w:name w:val="Sub-Título"/>
    <w:basedOn w:val="Ttulo-REP"/>
    <w:qFormat/>
    <w:rsid w:val="00C24878"/>
    <w:pPr>
      <w:spacing w:before="600"/>
    </w:pPr>
    <w:rPr>
      <w:b w:val="0"/>
      <w:sz w:val="28"/>
    </w:rPr>
  </w:style>
  <w:style w:type="paragraph" w:customStyle="1" w:styleId="Tabela-REP">
    <w:name w:val="Tabela-REP"/>
    <w:basedOn w:val="Normal"/>
    <w:autoRedefine/>
    <w:qFormat/>
    <w:rsid w:val="00C24878"/>
    <w:pPr>
      <w:spacing w:before="240" w:after="120"/>
      <w:ind w:left="720"/>
      <w:jc w:val="center"/>
    </w:pPr>
    <w:rPr>
      <w:rFonts w:eastAsia="Times New Roman" w:cstheme="minorBidi"/>
      <w:b/>
      <w:color w:val="00000A"/>
      <w:sz w:val="22"/>
      <w:szCs w:val="22"/>
      <w:lang w:eastAsia="pt-BR"/>
    </w:rPr>
  </w:style>
  <w:style w:type="paragraph" w:customStyle="1" w:styleId="texto-REP">
    <w:name w:val="texto-REP"/>
    <w:basedOn w:val="Normal"/>
    <w:autoRedefine/>
    <w:qFormat/>
    <w:rsid w:val="005C76F0"/>
    <w:pPr>
      <w:widowControl w:val="0"/>
      <w:pBdr>
        <w:top w:val="nil"/>
        <w:left w:val="nil"/>
        <w:bottom w:val="nil"/>
        <w:right w:val="nil"/>
        <w:between w:val="nil"/>
      </w:pBdr>
      <w:suppressAutoHyphens/>
      <w:adjustRightInd w:val="0"/>
      <w:ind w:firstLine="284"/>
      <w:jc w:val="both"/>
      <w:textAlignment w:val="baseline"/>
    </w:pPr>
    <w:rPr>
      <w:rFonts w:eastAsiaTheme="minorEastAsia" w:cs="Times New Roman (Corpo CS)"/>
      <w:color w:val="212121"/>
      <w:kern w:val="22"/>
      <w:sz w:val="22"/>
      <w:szCs w:val="22"/>
      <w:lang w:eastAsia="ar-SA"/>
    </w:rPr>
  </w:style>
  <w:style w:type="character" w:customStyle="1" w:styleId="Ttulo1Char">
    <w:name w:val="Título 1 Char"/>
    <w:basedOn w:val="Fontepargpadro"/>
    <w:link w:val="Ttulo1"/>
    <w:uiPriority w:val="9"/>
    <w:rsid w:val="00C24878"/>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semiHidden/>
    <w:unhideWhenUsed/>
    <w:rsid w:val="00387F4E"/>
    <w:rPr>
      <w:color w:val="0000FF"/>
      <w:u w:val="single"/>
    </w:rPr>
  </w:style>
  <w:style w:type="paragraph" w:customStyle="1" w:styleId="post-date">
    <w:name w:val="post-date"/>
    <w:basedOn w:val="Normal"/>
    <w:rsid w:val="00387F4E"/>
    <w:pPr>
      <w:spacing w:before="100" w:beforeAutospacing="1" w:after="100" w:afterAutospacing="1"/>
    </w:pPr>
    <w:rPr>
      <w:rFonts w:eastAsia="Times New Roman"/>
      <w:color w:val="auto"/>
      <w:sz w:val="24"/>
      <w:lang w:eastAsia="pt-BR"/>
    </w:rPr>
  </w:style>
  <w:style w:type="character" w:styleId="Forte">
    <w:name w:val="Strong"/>
    <w:basedOn w:val="Fontepargpadro"/>
    <w:uiPriority w:val="22"/>
    <w:qFormat/>
    <w:rsid w:val="00387F4E"/>
    <w:rPr>
      <w:b/>
      <w:bCs/>
    </w:rPr>
  </w:style>
  <w:style w:type="character" w:styleId="nfase">
    <w:name w:val="Emphasis"/>
    <w:basedOn w:val="Fontepargpadro"/>
    <w:uiPriority w:val="20"/>
    <w:qFormat/>
    <w:rsid w:val="00387F4E"/>
    <w:rPr>
      <w:i/>
      <w:iCs/>
    </w:rPr>
  </w:style>
  <w:style w:type="paragraph" w:styleId="NormalWeb">
    <w:name w:val="Normal (Web)"/>
    <w:basedOn w:val="Normal"/>
    <w:uiPriority w:val="99"/>
    <w:semiHidden/>
    <w:unhideWhenUsed/>
    <w:rsid w:val="00387F4E"/>
    <w:pPr>
      <w:spacing w:before="100" w:beforeAutospacing="1" w:after="100" w:afterAutospacing="1"/>
    </w:pPr>
    <w:rPr>
      <w:rFonts w:eastAsia="Times New Roman"/>
      <w:color w:val="auto"/>
      <w:sz w:val="24"/>
      <w:lang w:eastAsia="pt-BR"/>
    </w:rPr>
  </w:style>
  <w:style w:type="character" w:customStyle="1" w:styleId="apple-converted-space">
    <w:name w:val="apple-converted-space"/>
    <w:basedOn w:val="Fontepargpadro"/>
    <w:rsid w:val="00387F4E"/>
  </w:style>
  <w:style w:type="character" w:customStyle="1" w:styleId="by-author">
    <w:name w:val="by-author"/>
    <w:basedOn w:val="Fontepargpadro"/>
    <w:rsid w:val="00387F4E"/>
  </w:style>
  <w:style w:type="character" w:customStyle="1" w:styleId="author">
    <w:name w:val="author"/>
    <w:basedOn w:val="Fontepargpadro"/>
    <w:rsid w:val="00387F4E"/>
  </w:style>
  <w:style w:type="paragraph" w:customStyle="1" w:styleId="post-com-count">
    <w:name w:val="post-com-count"/>
    <w:basedOn w:val="Normal"/>
    <w:rsid w:val="00387F4E"/>
    <w:pPr>
      <w:spacing w:before="100" w:beforeAutospacing="1" w:after="100" w:afterAutospacing="1"/>
    </w:pPr>
    <w:rPr>
      <w:rFonts w:eastAsia="Times New Roman"/>
      <w:color w:val="auto"/>
      <w:sz w:val="24"/>
      <w:lang w:eastAsia="pt-BR"/>
    </w:rPr>
  </w:style>
  <w:style w:type="character" w:customStyle="1" w:styleId="skimlinks-unlinked">
    <w:name w:val="skimlinks-unlinked"/>
    <w:basedOn w:val="Fontepargpadro"/>
    <w:rsid w:val="0038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31352">
      <w:bodyDiv w:val="1"/>
      <w:marLeft w:val="0"/>
      <w:marRight w:val="0"/>
      <w:marTop w:val="0"/>
      <w:marBottom w:val="0"/>
      <w:divBdr>
        <w:top w:val="none" w:sz="0" w:space="0" w:color="auto"/>
        <w:left w:val="none" w:sz="0" w:space="0" w:color="auto"/>
        <w:bottom w:val="none" w:sz="0" w:space="0" w:color="auto"/>
        <w:right w:val="none" w:sz="0" w:space="0" w:color="auto"/>
      </w:divBdr>
      <w:divsChild>
        <w:div w:id="464858197">
          <w:marLeft w:val="0"/>
          <w:marRight w:val="0"/>
          <w:marTop w:val="0"/>
          <w:marBottom w:val="0"/>
          <w:divBdr>
            <w:top w:val="none" w:sz="0" w:space="0" w:color="auto"/>
            <w:left w:val="none" w:sz="0" w:space="0" w:color="auto"/>
            <w:bottom w:val="none" w:sz="0" w:space="0" w:color="auto"/>
            <w:right w:val="none" w:sz="0" w:space="0" w:color="auto"/>
          </w:divBdr>
        </w:div>
        <w:div w:id="1958294681">
          <w:marLeft w:val="0"/>
          <w:marRight w:val="0"/>
          <w:marTop w:val="0"/>
          <w:marBottom w:val="450"/>
          <w:divBdr>
            <w:top w:val="none" w:sz="0" w:space="0" w:color="auto"/>
            <w:left w:val="none" w:sz="0" w:space="0" w:color="auto"/>
            <w:bottom w:val="none" w:sz="0" w:space="0" w:color="auto"/>
            <w:right w:val="none" w:sz="0" w:space="0" w:color="auto"/>
          </w:divBdr>
          <w:divsChild>
            <w:div w:id="750083945">
              <w:marLeft w:val="0"/>
              <w:marRight w:val="0"/>
              <w:marTop w:val="0"/>
              <w:marBottom w:val="0"/>
              <w:divBdr>
                <w:top w:val="none" w:sz="0" w:space="0" w:color="auto"/>
                <w:left w:val="none" w:sz="0" w:space="0" w:color="auto"/>
                <w:bottom w:val="none" w:sz="0" w:space="0" w:color="auto"/>
                <w:right w:val="none" w:sz="0" w:space="0" w:color="auto"/>
              </w:divBdr>
              <w:divsChild>
                <w:div w:id="10669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1918</Words>
  <Characters>10361</Characters>
  <Application>Microsoft Office Word</Application>
  <DocSecurity>0</DocSecurity>
  <Lines>86</Lines>
  <Paragraphs>24</Paragraphs>
  <ScaleCrop>false</ScaleCrop>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cp:lastPrinted>2021-08-02T13:33:00Z</cp:lastPrinted>
  <dcterms:created xsi:type="dcterms:W3CDTF">2021-08-02T13:38:00Z</dcterms:created>
  <dcterms:modified xsi:type="dcterms:W3CDTF">2021-08-02T13:38:00Z</dcterms:modified>
</cp:coreProperties>
</file>